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B22C9" w14:textId="77777777" w:rsidR="005B0C73" w:rsidRDefault="00000000">
      <w:pPr>
        <w:spacing w:after="120"/>
      </w:pPr>
      <w:r>
        <w:rPr>
          <w:b/>
          <w:bCs/>
          <w:sz w:val="26"/>
          <w:szCs w:val="26"/>
        </w:rPr>
        <w:t>NOTE TO PATENT AGENT — READ BEFORE USE, THEN DELETE THIS PAGE</w:t>
      </w:r>
    </w:p>
    <w:p w14:paraId="0D926B83" w14:textId="77777777" w:rsidR="005B0C73" w:rsidRDefault="005B0C73">
      <w:pPr>
        <w:pBdr>
          <w:bottom w:val="single" w:sz="8" w:space="4" w:color="999999"/>
        </w:pBdr>
        <w:spacing w:after="200"/>
      </w:pPr>
    </w:p>
    <w:p w14:paraId="4533490C" w14:textId="77777777" w:rsidR="005B0C73" w:rsidRDefault="00000000">
      <w:pPr>
        <w:spacing w:after="160" w:line="264" w:lineRule="auto"/>
        <w:jc w:val="both"/>
      </w:pPr>
      <w:r>
        <w:rPr>
          <w:sz w:val="19"/>
          <w:szCs w:val="19"/>
        </w:rPr>
        <w:t>This is a general-purpose, one-way confidentiality agreement for use when a prospective or current client is about to share invention details, technical data, or business information with you (the patent agent) so you can evaluate patentability or prepare and prosecute a patent application.</w:t>
      </w:r>
    </w:p>
    <w:p w14:paraId="5B861DA3" w14:textId="77777777" w:rsidR="005B0C73" w:rsidRDefault="00000000">
      <w:pPr>
        <w:spacing w:after="160" w:line="264" w:lineRule="auto"/>
        <w:jc w:val="both"/>
      </w:pPr>
      <w:r>
        <w:rPr>
          <w:b/>
          <w:bCs/>
          <w:sz w:val="19"/>
          <w:szCs w:val="19"/>
        </w:rPr>
        <w:t>A few practical points:</w:t>
      </w:r>
    </w:p>
    <w:p w14:paraId="432BCC9B" w14:textId="77777777" w:rsidR="005B0C73" w:rsidRDefault="00000000">
      <w:pPr>
        <w:pStyle w:val="ListParagraph"/>
        <w:numPr>
          <w:ilvl w:val="0"/>
          <w:numId w:val="2"/>
        </w:numPr>
        <w:spacing w:after="140" w:line="264" w:lineRule="auto"/>
        <w:jc w:val="both"/>
      </w:pPr>
      <w:r>
        <w:rPr>
          <w:sz w:val="19"/>
          <w:szCs w:val="19"/>
        </w:rPr>
        <w:t xml:space="preserve">Patent practitioners already owe inventors a duty of confidentiality under USPTO Rules of Professional Conduct (37 C.F.R. § 11.106) once a client relationship exists. Many practitioners still use a </w:t>
      </w:r>
      <w:proofErr w:type="gramStart"/>
      <w:r>
        <w:rPr>
          <w:sz w:val="19"/>
          <w:szCs w:val="19"/>
        </w:rPr>
        <w:t>short written</w:t>
      </w:r>
      <w:proofErr w:type="gramEnd"/>
      <w:r>
        <w:rPr>
          <w:sz w:val="19"/>
          <w:szCs w:val="19"/>
        </w:rPr>
        <w:t xml:space="preserve"> NDA before that relationship is formal — for example, during an initial consultation or prior-art discussion with someone who is not yet a signed client — so the inventor has something in hand before disclosing sensitive details.</w:t>
      </w:r>
    </w:p>
    <w:p w14:paraId="025540B6" w14:textId="77777777" w:rsidR="005B0C73" w:rsidRDefault="00000000">
      <w:pPr>
        <w:pStyle w:val="ListParagraph"/>
        <w:numPr>
          <w:ilvl w:val="0"/>
          <w:numId w:val="2"/>
        </w:numPr>
        <w:spacing w:after="140" w:line="264" w:lineRule="auto"/>
        <w:jc w:val="both"/>
      </w:pPr>
      <w:r>
        <w:rPr>
          <w:sz w:val="19"/>
          <w:szCs w:val="19"/>
        </w:rPr>
        <w:t>Fill in every bracketed placeholder ([Client Name], [Date], etc.) before sending this to anyone.</w:t>
      </w:r>
    </w:p>
    <w:p w14:paraId="1BA036E6" w14:textId="77777777" w:rsidR="005B0C73" w:rsidRDefault="00000000">
      <w:pPr>
        <w:pStyle w:val="ListParagraph"/>
        <w:numPr>
          <w:ilvl w:val="0"/>
          <w:numId w:val="2"/>
        </w:numPr>
        <w:spacing w:after="140" w:line="264" w:lineRule="auto"/>
        <w:jc w:val="both"/>
      </w:pPr>
      <w:r>
        <w:rPr>
          <w:sz w:val="19"/>
          <w:szCs w:val="19"/>
        </w:rPr>
        <w:t>This form's governing-law and venue clause (Section 12) is pre-set to your firm's home jurisdiction — Volusia County, Florida — as your standing default for clients located in other states. Florida choice-of-law and venue clauses are generally enforceable against an out-of-state signatory, but if a larger or more sophisticated client objects and insists on their own state, that is a normal negotiation point rather than a reason to abandon the default.</w:t>
      </w:r>
    </w:p>
    <w:p w14:paraId="6C66D28C" w14:textId="77777777" w:rsidR="005B0C73" w:rsidRDefault="00000000">
      <w:pPr>
        <w:pStyle w:val="ListParagraph"/>
        <w:numPr>
          <w:ilvl w:val="0"/>
          <w:numId w:val="2"/>
        </w:numPr>
        <w:spacing w:after="140" w:line="264" w:lineRule="auto"/>
        <w:jc w:val="both"/>
      </w:pPr>
      <w:r>
        <w:rPr>
          <w:sz w:val="19"/>
          <w:szCs w:val="19"/>
        </w:rPr>
        <w:t>This template is not legal advice and has not been reviewed for any specific jurisdiction. Have your own counsel, or your malpractice carrier's recommended forms resource, review it — particularly the duration-of-confidentiality and remedies clauses — before adopting it as a standard form.</w:t>
      </w:r>
    </w:p>
    <w:p w14:paraId="3FA83028" w14:textId="77777777" w:rsidR="005B0C73" w:rsidRDefault="00000000">
      <w:pPr>
        <w:pStyle w:val="ListParagraph"/>
        <w:numPr>
          <w:ilvl w:val="0"/>
          <w:numId w:val="2"/>
        </w:numPr>
        <w:spacing w:after="140" w:line="264" w:lineRule="auto"/>
        <w:jc w:val="both"/>
      </w:pPr>
      <w:r>
        <w:rPr>
          <w:sz w:val="19"/>
          <w:szCs w:val="19"/>
        </w:rPr>
        <w:t>If your firm already uses a client engagement letter or retainer agreement, confirm this NDA does not conflict with the confidentiality terms in that document.</w:t>
      </w:r>
    </w:p>
    <w:p w14:paraId="324C4C91" w14:textId="77777777" w:rsidR="005B0C73" w:rsidRDefault="00000000">
      <w:r>
        <w:br w:type="page"/>
      </w:r>
    </w:p>
    <w:p w14:paraId="34222EF1" w14:textId="77777777" w:rsidR="005B0C73" w:rsidRDefault="00000000">
      <w:pPr>
        <w:spacing w:after="80"/>
        <w:jc w:val="center"/>
      </w:pPr>
      <w:r>
        <w:rPr>
          <w:b/>
          <w:bCs/>
          <w:sz w:val="30"/>
          <w:szCs w:val="30"/>
        </w:rPr>
        <w:lastRenderedPageBreak/>
        <w:t>CONFIDENTIALITY AND NON-DISCLOSURE AGREEMENT</w:t>
      </w:r>
    </w:p>
    <w:p w14:paraId="1E6FAC58" w14:textId="77777777" w:rsidR="005B0C73" w:rsidRDefault="005B0C73">
      <w:pPr>
        <w:pBdr>
          <w:bottom w:val="single" w:sz="8" w:space="4" w:color="999999"/>
        </w:pBdr>
        <w:spacing w:after="200"/>
      </w:pPr>
    </w:p>
    <w:p w14:paraId="3D3368D0" w14:textId="77777777" w:rsidR="005B0C73" w:rsidRDefault="00000000">
      <w:pPr>
        <w:spacing w:after="160" w:line="276" w:lineRule="auto"/>
        <w:jc w:val="both"/>
      </w:pPr>
      <w:r>
        <w:rPr>
          <w:sz w:val="21"/>
          <w:szCs w:val="21"/>
        </w:rPr>
        <w:t>This Confidentiality and Non-Disclosure Agreement (the "</w:t>
      </w:r>
      <w:r>
        <w:rPr>
          <w:b/>
          <w:bCs/>
          <w:sz w:val="21"/>
          <w:szCs w:val="21"/>
        </w:rPr>
        <w:t>Agreement</w:t>
      </w:r>
      <w:r>
        <w:rPr>
          <w:sz w:val="21"/>
          <w:szCs w:val="21"/>
        </w:rPr>
        <w:t>") is entered into as of ________________________ [Date] (the "</w:t>
      </w:r>
      <w:r>
        <w:rPr>
          <w:b/>
          <w:bCs/>
          <w:sz w:val="21"/>
          <w:szCs w:val="21"/>
        </w:rPr>
        <w:t>Effective Date</w:t>
      </w:r>
      <w:r>
        <w:rPr>
          <w:sz w:val="21"/>
          <w:szCs w:val="21"/>
        </w:rPr>
        <w:t>"), by and between:</w:t>
      </w:r>
    </w:p>
    <w:p w14:paraId="7848B9EB" w14:textId="77777777" w:rsidR="005B0C73" w:rsidRDefault="00000000">
      <w:pPr>
        <w:spacing w:after="160" w:line="276" w:lineRule="auto"/>
        <w:jc w:val="both"/>
      </w:pPr>
      <w:r>
        <w:rPr>
          <w:b/>
          <w:bCs/>
          <w:sz w:val="21"/>
          <w:szCs w:val="21"/>
        </w:rPr>
        <w:t>[Client Full Name / Entity Name]</w:t>
      </w:r>
      <w:r>
        <w:rPr>
          <w:sz w:val="21"/>
          <w:szCs w:val="21"/>
        </w:rPr>
        <w:t>, with an address at [Client Address] ("</w:t>
      </w:r>
      <w:r>
        <w:rPr>
          <w:b/>
          <w:bCs/>
          <w:sz w:val="21"/>
          <w:szCs w:val="21"/>
        </w:rPr>
        <w:t>Disclosing Party</w:t>
      </w:r>
      <w:r>
        <w:rPr>
          <w:sz w:val="21"/>
          <w:szCs w:val="21"/>
        </w:rPr>
        <w:t>" or "</w:t>
      </w:r>
      <w:r>
        <w:rPr>
          <w:b/>
          <w:bCs/>
          <w:sz w:val="21"/>
          <w:szCs w:val="21"/>
        </w:rPr>
        <w:t>Client</w:t>
      </w:r>
      <w:r>
        <w:rPr>
          <w:sz w:val="21"/>
          <w:szCs w:val="21"/>
        </w:rPr>
        <w:t>"),</w:t>
      </w:r>
    </w:p>
    <w:p w14:paraId="19115BB8" w14:textId="77777777" w:rsidR="005B0C73" w:rsidRDefault="00000000">
      <w:pPr>
        <w:spacing w:after="160" w:line="276" w:lineRule="auto"/>
        <w:jc w:val="both"/>
      </w:pPr>
      <w:r>
        <w:rPr>
          <w:sz w:val="21"/>
          <w:szCs w:val="21"/>
        </w:rPr>
        <w:t>and</w:t>
      </w:r>
    </w:p>
    <w:p w14:paraId="49F8522C" w14:textId="77777777" w:rsidR="005B0C73" w:rsidRDefault="00000000">
      <w:pPr>
        <w:spacing w:after="160" w:line="276" w:lineRule="auto"/>
        <w:jc w:val="both"/>
      </w:pPr>
      <w:r>
        <w:rPr>
          <w:b/>
          <w:bCs/>
          <w:sz w:val="21"/>
          <w:szCs w:val="21"/>
        </w:rPr>
        <w:t>[Patent Agent / Firm Name]</w:t>
      </w:r>
      <w:r>
        <w:rPr>
          <w:sz w:val="21"/>
          <w:szCs w:val="21"/>
        </w:rPr>
        <w:t>, a patent agent / patent attorney / law firm registered to practice before the United States Patent and Trademark Office (Registration No. [Registration Number]), with an address at [Firm Address] ("</w:t>
      </w:r>
      <w:r>
        <w:rPr>
          <w:b/>
          <w:bCs/>
          <w:sz w:val="21"/>
          <w:szCs w:val="21"/>
        </w:rPr>
        <w:t>Receiving Party</w:t>
      </w:r>
      <w:r>
        <w:rPr>
          <w:sz w:val="21"/>
          <w:szCs w:val="21"/>
        </w:rPr>
        <w:t>" or "</w:t>
      </w:r>
      <w:r>
        <w:rPr>
          <w:b/>
          <w:bCs/>
          <w:sz w:val="21"/>
          <w:szCs w:val="21"/>
        </w:rPr>
        <w:t>Patent Agent</w:t>
      </w:r>
      <w:r>
        <w:rPr>
          <w:sz w:val="21"/>
          <w:szCs w:val="21"/>
        </w:rPr>
        <w:t>").</w:t>
      </w:r>
    </w:p>
    <w:p w14:paraId="567541E4" w14:textId="77777777" w:rsidR="005B0C73" w:rsidRDefault="00000000">
      <w:pPr>
        <w:spacing w:after="160" w:line="276" w:lineRule="auto"/>
        <w:jc w:val="both"/>
      </w:pPr>
      <w:r>
        <w:rPr>
          <w:sz w:val="21"/>
          <w:szCs w:val="21"/>
        </w:rPr>
        <w:t>Disclosing Party and Receiving Party are each a "</w:t>
      </w:r>
      <w:r>
        <w:rPr>
          <w:b/>
          <w:bCs/>
          <w:sz w:val="21"/>
          <w:szCs w:val="21"/>
        </w:rPr>
        <w:t>Party</w:t>
      </w:r>
      <w:r>
        <w:rPr>
          <w:sz w:val="21"/>
          <w:szCs w:val="21"/>
        </w:rPr>
        <w:t>" and together the "</w:t>
      </w:r>
      <w:r>
        <w:rPr>
          <w:b/>
          <w:bCs/>
          <w:sz w:val="21"/>
          <w:szCs w:val="21"/>
        </w:rPr>
        <w:t>Parties</w:t>
      </w:r>
      <w:r>
        <w:rPr>
          <w:sz w:val="21"/>
          <w:szCs w:val="21"/>
        </w:rPr>
        <w:t>."</w:t>
      </w:r>
    </w:p>
    <w:p w14:paraId="6B6DB4D9" w14:textId="77777777" w:rsidR="005B0C73" w:rsidRDefault="00000000">
      <w:pPr>
        <w:spacing w:before="200" w:after="100"/>
      </w:pPr>
      <w:r>
        <w:rPr>
          <w:b/>
          <w:bCs/>
          <w:sz w:val="22"/>
          <w:szCs w:val="22"/>
        </w:rPr>
        <w:t>RECITALS</w:t>
      </w:r>
    </w:p>
    <w:p w14:paraId="6ABFCDAF" w14:textId="77777777" w:rsidR="005B0C73" w:rsidRDefault="00000000">
      <w:pPr>
        <w:spacing w:after="160" w:line="276" w:lineRule="auto"/>
        <w:jc w:val="both"/>
      </w:pPr>
      <w:proofErr w:type="gramStart"/>
      <w:r>
        <w:rPr>
          <w:sz w:val="21"/>
          <w:szCs w:val="21"/>
        </w:rPr>
        <w:t>WHEREAS,</w:t>
      </w:r>
      <w:proofErr w:type="gramEnd"/>
      <w:r>
        <w:rPr>
          <w:sz w:val="21"/>
          <w:szCs w:val="21"/>
        </w:rPr>
        <w:t xml:space="preserve"> Client possesses certain confidential and proprietary information relating to one or more inventions, discoveries, technical designs, prototypes, business plans, and related materials (the "</w:t>
      </w:r>
      <w:r>
        <w:rPr>
          <w:b/>
          <w:bCs/>
          <w:sz w:val="21"/>
          <w:szCs w:val="21"/>
        </w:rPr>
        <w:t>Invention</w:t>
      </w:r>
      <w:r>
        <w:rPr>
          <w:sz w:val="21"/>
          <w:szCs w:val="21"/>
        </w:rPr>
        <w:t>"), which Client wishes to disclose to Patent Agent solely for the purpose described below; and</w:t>
      </w:r>
    </w:p>
    <w:p w14:paraId="5B429F25" w14:textId="77777777" w:rsidR="005B0C73" w:rsidRDefault="00000000">
      <w:pPr>
        <w:spacing w:after="160" w:line="276" w:lineRule="auto"/>
        <w:jc w:val="both"/>
      </w:pPr>
      <w:proofErr w:type="gramStart"/>
      <w:r>
        <w:rPr>
          <w:sz w:val="21"/>
          <w:szCs w:val="21"/>
        </w:rPr>
        <w:t>WHEREAS,</w:t>
      </w:r>
      <w:proofErr w:type="gramEnd"/>
      <w:r>
        <w:rPr>
          <w:sz w:val="21"/>
          <w:szCs w:val="21"/>
        </w:rPr>
        <w:t xml:space="preserve"> Patent Agent is willing to receive such information subject to the terms of this Agreement;</w:t>
      </w:r>
    </w:p>
    <w:p w14:paraId="25E02FDA" w14:textId="77777777" w:rsidR="005B0C73" w:rsidRDefault="00000000">
      <w:pPr>
        <w:spacing w:after="160" w:line="276" w:lineRule="auto"/>
        <w:jc w:val="both"/>
      </w:pPr>
      <w:r>
        <w:rPr>
          <w:sz w:val="21"/>
          <w:szCs w:val="21"/>
        </w:rPr>
        <w:t>NOW, THEREFORE, in consideration of the mutual promises contained herein, the Parties agree as follows:</w:t>
      </w:r>
    </w:p>
    <w:p w14:paraId="249876C5" w14:textId="77777777" w:rsidR="005B0C73" w:rsidRDefault="00000000">
      <w:pPr>
        <w:spacing w:before="240" w:after="100"/>
      </w:pPr>
      <w:r>
        <w:rPr>
          <w:b/>
          <w:bCs/>
          <w:sz w:val="22"/>
          <w:szCs w:val="22"/>
        </w:rPr>
        <w:t>1. Purpose</w:t>
      </w:r>
    </w:p>
    <w:p w14:paraId="08111C5E" w14:textId="77777777" w:rsidR="005B0C73" w:rsidRDefault="00000000">
      <w:pPr>
        <w:spacing w:after="160" w:line="276" w:lineRule="auto"/>
        <w:jc w:val="both"/>
      </w:pPr>
      <w:r>
        <w:rPr>
          <w:sz w:val="21"/>
          <w:szCs w:val="21"/>
        </w:rPr>
        <w:t>Client desires to disclose certain Confidential Information (defined below) to Patent Agent so that Patent Agent may: (a) evaluate the patentability of the Invention, including conducting or reviewing prior-art searches; (b) advise Client regarding intellectual property strategy; and/or (c) prepare, file, and prosecute one or more patent applications on Client's behalf (the "</w:t>
      </w:r>
      <w:r>
        <w:rPr>
          <w:b/>
          <w:bCs/>
          <w:sz w:val="21"/>
          <w:szCs w:val="21"/>
        </w:rPr>
        <w:t>Purpose</w:t>
      </w:r>
      <w:r>
        <w:rPr>
          <w:sz w:val="21"/>
          <w:szCs w:val="21"/>
        </w:rPr>
        <w:t>"). Patent Agent agrees to use the Confidential Information solely for the Purpose and for no other purpose.</w:t>
      </w:r>
    </w:p>
    <w:p w14:paraId="1379E97D" w14:textId="77777777" w:rsidR="005B0C73" w:rsidRDefault="00000000">
      <w:pPr>
        <w:spacing w:before="240" w:after="100"/>
      </w:pPr>
      <w:r>
        <w:rPr>
          <w:b/>
          <w:bCs/>
          <w:sz w:val="22"/>
          <w:szCs w:val="22"/>
        </w:rPr>
        <w:t>2. Definition of Confidential Information</w:t>
      </w:r>
    </w:p>
    <w:p w14:paraId="46FF21BF" w14:textId="77777777" w:rsidR="005B0C73" w:rsidRDefault="00000000">
      <w:pPr>
        <w:spacing w:after="160" w:line="276" w:lineRule="auto"/>
        <w:jc w:val="both"/>
      </w:pPr>
      <w:r>
        <w:rPr>
          <w:sz w:val="21"/>
          <w:szCs w:val="21"/>
        </w:rPr>
        <w:t>"</w:t>
      </w:r>
      <w:r>
        <w:rPr>
          <w:b/>
          <w:bCs/>
          <w:sz w:val="21"/>
          <w:szCs w:val="21"/>
        </w:rPr>
        <w:t>Confidential Information</w:t>
      </w:r>
      <w:r>
        <w:rPr>
          <w:sz w:val="21"/>
          <w:szCs w:val="21"/>
        </w:rPr>
        <w:t>" means any and all non-public information disclosed by Client to Patent Agent, whether disclosed orally, in writing, electronically, or by inspection of tangible items, relating to the Invention, including without limitation: technical data, specifications, drawings, sketches, models, samples, prototypes, formulas, algorithms, source code, processes, research and development activities, prior-art references identified by Client, business and marketing plans, financial information, and the fact that discussions between the Parties are taking place.</w:t>
      </w:r>
    </w:p>
    <w:p w14:paraId="44BE8536" w14:textId="77777777" w:rsidR="005B0C73" w:rsidRDefault="00000000">
      <w:pPr>
        <w:spacing w:after="160" w:line="276" w:lineRule="auto"/>
        <w:jc w:val="both"/>
      </w:pPr>
      <w:r>
        <w:rPr>
          <w:sz w:val="21"/>
          <w:szCs w:val="21"/>
        </w:rPr>
        <w:t xml:space="preserve">Confidential Information includes information disclosed before, on, or after the Effective Date, </w:t>
      </w:r>
      <w:proofErr w:type="gramStart"/>
      <w:r>
        <w:rPr>
          <w:sz w:val="21"/>
          <w:szCs w:val="21"/>
        </w:rPr>
        <w:t>provided that</w:t>
      </w:r>
      <w:proofErr w:type="gramEnd"/>
      <w:r>
        <w:rPr>
          <w:sz w:val="21"/>
          <w:szCs w:val="21"/>
        </w:rPr>
        <w:t xml:space="preserve"> information disclosed orally or visually is identified as confidential at the time of disclosure or is reasonably understood by Patent Agent, given the nature of the information and the circumstances of disclosure, to be confidential.</w:t>
      </w:r>
    </w:p>
    <w:p w14:paraId="5C0946E0" w14:textId="77777777" w:rsidR="005B0C73" w:rsidRDefault="00000000">
      <w:pPr>
        <w:spacing w:before="240" w:after="100"/>
      </w:pPr>
      <w:r>
        <w:rPr>
          <w:b/>
          <w:bCs/>
          <w:sz w:val="22"/>
          <w:szCs w:val="22"/>
        </w:rPr>
        <w:t>3. Exclusions from Confidential Information</w:t>
      </w:r>
    </w:p>
    <w:p w14:paraId="6AF0EC8B" w14:textId="77777777" w:rsidR="005B0C73" w:rsidRDefault="00000000">
      <w:pPr>
        <w:spacing w:after="160" w:line="276" w:lineRule="auto"/>
        <w:jc w:val="both"/>
      </w:pPr>
      <w:r>
        <w:rPr>
          <w:sz w:val="21"/>
          <w:szCs w:val="21"/>
        </w:rPr>
        <w:t>Confidential Information does not include information that Patent Agent can demonstrate:</w:t>
      </w:r>
    </w:p>
    <w:p w14:paraId="37AF8349" w14:textId="77777777" w:rsidR="005B0C73" w:rsidRDefault="00000000">
      <w:pPr>
        <w:spacing w:after="120" w:line="276" w:lineRule="auto"/>
        <w:ind w:left="360"/>
        <w:jc w:val="both"/>
      </w:pPr>
      <w:r>
        <w:rPr>
          <w:sz w:val="21"/>
          <w:szCs w:val="21"/>
        </w:rPr>
        <w:t>(a) was already lawfully known to Patent Agent, without an obligation of confidentiality, prior to disclosure by Client;</w:t>
      </w:r>
    </w:p>
    <w:p w14:paraId="634C6BD9" w14:textId="77777777" w:rsidR="005B0C73" w:rsidRDefault="00000000">
      <w:pPr>
        <w:spacing w:after="120" w:line="276" w:lineRule="auto"/>
        <w:ind w:left="360"/>
        <w:jc w:val="both"/>
      </w:pPr>
      <w:r>
        <w:rPr>
          <w:sz w:val="21"/>
          <w:szCs w:val="21"/>
        </w:rPr>
        <w:lastRenderedPageBreak/>
        <w:t>(b) is or becomes publicly available through no fault or breach of this Agreement by Patent Agent;</w:t>
      </w:r>
    </w:p>
    <w:p w14:paraId="05D245FE" w14:textId="77777777" w:rsidR="005B0C73" w:rsidRDefault="00000000">
      <w:pPr>
        <w:spacing w:after="120" w:line="276" w:lineRule="auto"/>
        <w:ind w:left="360"/>
        <w:jc w:val="both"/>
      </w:pPr>
      <w:r>
        <w:rPr>
          <w:sz w:val="21"/>
          <w:szCs w:val="21"/>
        </w:rPr>
        <w:t>(c) is rightfully received by Patent Agent from a third party without breach of any obligation of confidentiality owed to Client; or</w:t>
      </w:r>
    </w:p>
    <w:p w14:paraId="6ED3D2CC" w14:textId="77777777" w:rsidR="005B0C73" w:rsidRDefault="00000000">
      <w:pPr>
        <w:spacing w:after="120" w:line="276" w:lineRule="auto"/>
        <w:ind w:left="360"/>
        <w:jc w:val="both"/>
      </w:pPr>
      <w:r>
        <w:rPr>
          <w:sz w:val="21"/>
          <w:szCs w:val="21"/>
        </w:rPr>
        <w:t>(d) is independently developed by Patent Agent without use of or reference to Client's Confidential Information.</w:t>
      </w:r>
    </w:p>
    <w:p w14:paraId="4F4ADEC9" w14:textId="77777777" w:rsidR="005B0C73" w:rsidRDefault="00000000">
      <w:pPr>
        <w:spacing w:before="240" w:after="100"/>
      </w:pPr>
      <w:r>
        <w:rPr>
          <w:b/>
          <w:bCs/>
          <w:sz w:val="22"/>
          <w:szCs w:val="22"/>
        </w:rPr>
        <w:t>4. Obligations of Patent Agent</w:t>
      </w:r>
    </w:p>
    <w:p w14:paraId="06519678" w14:textId="77777777" w:rsidR="005B0C73" w:rsidRDefault="00000000">
      <w:pPr>
        <w:spacing w:after="160" w:line="276" w:lineRule="auto"/>
        <w:jc w:val="both"/>
      </w:pPr>
      <w:r>
        <w:rPr>
          <w:sz w:val="21"/>
          <w:szCs w:val="21"/>
        </w:rPr>
        <w:t>Patent Agent agrees to:</w:t>
      </w:r>
    </w:p>
    <w:p w14:paraId="03063E15" w14:textId="77777777" w:rsidR="005B0C73" w:rsidRDefault="00000000">
      <w:pPr>
        <w:spacing w:after="120" w:line="276" w:lineRule="auto"/>
        <w:ind w:left="360"/>
        <w:jc w:val="both"/>
      </w:pPr>
      <w:r>
        <w:rPr>
          <w:sz w:val="21"/>
          <w:szCs w:val="21"/>
        </w:rPr>
        <w:t>(a) hold the Confidential Information in strict confidence and not disclose it to any third party, except to Patent Agent's employees, contractors, or associated counsel who have a need to know it for the Purpose and who are bound by confidentiality obligations at least as protective as those in this Agreement;</w:t>
      </w:r>
    </w:p>
    <w:p w14:paraId="21885FDB" w14:textId="77777777" w:rsidR="005B0C73" w:rsidRDefault="00000000">
      <w:pPr>
        <w:spacing w:after="120" w:line="276" w:lineRule="auto"/>
        <w:ind w:left="360"/>
        <w:jc w:val="both"/>
      </w:pPr>
      <w:r>
        <w:rPr>
          <w:sz w:val="21"/>
          <w:szCs w:val="21"/>
        </w:rPr>
        <w:t>(b) use the Confidential Information solely for the Purpose;</w:t>
      </w:r>
    </w:p>
    <w:p w14:paraId="07D21F31" w14:textId="77777777" w:rsidR="005B0C73" w:rsidRDefault="00000000">
      <w:pPr>
        <w:spacing w:after="120" w:line="276" w:lineRule="auto"/>
        <w:ind w:left="360"/>
        <w:jc w:val="both"/>
      </w:pPr>
      <w:r>
        <w:rPr>
          <w:sz w:val="21"/>
          <w:szCs w:val="21"/>
        </w:rPr>
        <w:t>(c) protect the Confidential Information using at least the same degree of care Patent Agent uses to protect its own confidential information of similar importance, and in no event less than a reasonable degree of care; and</w:t>
      </w:r>
    </w:p>
    <w:p w14:paraId="230361FC" w14:textId="77777777" w:rsidR="005B0C73" w:rsidRDefault="00000000">
      <w:pPr>
        <w:spacing w:after="120" w:line="276" w:lineRule="auto"/>
        <w:ind w:left="360"/>
        <w:jc w:val="both"/>
      </w:pPr>
      <w:r>
        <w:rPr>
          <w:sz w:val="21"/>
          <w:szCs w:val="21"/>
        </w:rPr>
        <w:t>(d) promptly notify Client if Patent Agent becomes aware of any unauthorized use or disclosure of the Confidential Information.</w:t>
      </w:r>
    </w:p>
    <w:p w14:paraId="53D2C974" w14:textId="77777777" w:rsidR="005B0C73" w:rsidRDefault="00000000">
      <w:pPr>
        <w:spacing w:after="160" w:line="276" w:lineRule="auto"/>
        <w:jc w:val="both"/>
      </w:pPr>
      <w:r>
        <w:rPr>
          <w:sz w:val="21"/>
          <w:szCs w:val="21"/>
        </w:rPr>
        <w:t>Nothing in this Agreement limits Patent Agent's independent professional and ethical duties of confidentiality to Client under 37 C.F.R. § 11.106 and applicable state rules of professional conduct, which duties survive independently of this Agreement.</w:t>
      </w:r>
    </w:p>
    <w:p w14:paraId="588736DD" w14:textId="77777777" w:rsidR="005B0C73" w:rsidRDefault="00000000">
      <w:pPr>
        <w:spacing w:before="240" w:after="100"/>
      </w:pPr>
      <w:r>
        <w:rPr>
          <w:b/>
          <w:bCs/>
          <w:sz w:val="22"/>
          <w:szCs w:val="22"/>
        </w:rPr>
        <w:t>5. Compelled Disclosure</w:t>
      </w:r>
    </w:p>
    <w:p w14:paraId="5650A050" w14:textId="77777777" w:rsidR="005B0C73" w:rsidRDefault="00000000">
      <w:pPr>
        <w:spacing w:after="160" w:line="276" w:lineRule="auto"/>
        <w:jc w:val="both"/>
      </w:pPr>
      <w:r>
        <w:rPr>
          <w:sz w:val="21"/>
          <w:szCs w:val="21"/>
        </w:rPr>
        <w:t>If Patent Agent is required by law, regulation, court order, or the rules of the USPTO to disclose any Confidential Information, Patent Agent will, to the extent legally permitted, promptly notify Client before making such disclosure so that Client may seek a protective order or other appropriate remedy, and Patent Agent will disclose only the portion of the Confidential Information legally required.</w:t>
      </w:r>
    </w:p>
    <w:p w14:paraId="6E2309B5" w14:textId="77777777" w:rsidR="005B0C73" w:rsidRDefault="00000000">
      <w:pPr>
        <w:spacing w:before="240" w:after="100"/>
      </w:pPr>
      <w:r>
        <w:rPr>
          <w:b/>
          <w:bCs/>
          <w:sz w:val="22"/>
          <w:szCs w:val="22"/>
        </w:rPr>
        <w:t>6. No License; No Rights Granted</w:t>
      </w:r>
    </w:p>
    <w:p w14:paraId="51384D21" w14:textId="77777777" w:rsidR="005B0C73" w:rsidRDefault="00000000">
      <w:pPr>
        <w:spacing w:after="160" w:line="276" w:lineRule="auto"/>
        <w:jc w:val="both"/>
      </w:pPr>
      <w:r>
        <w:rPr>
          <w:sz w:val="21"/>
          <w:szCs w:val="21"/>
        </w:rPr>
        <w:t>Nothing in this Agreement grants Patent Agent any license, ownership interest, or other right, title, or interest in or to the Invention or any Confidential Information, whether under patent, copyright, trade secret, or other intellectual property law, except the limited right to use the Confidential Information for the Purpose. All Confidential Information, and all intellectual property rights therein, remain the sole property of Client.</w:t>
      </w:r>
    </w:p>
    <w:p w14:paraId="77F3C5E0" w14:textId="77777777" w:rsidR="005B0C73" w:rsidRDefault="00000000">
      <w:pPr>
        <w:spacing w:before="240" w:after="100"/>
      </w:pPr>
      <w:r>
        <w:rPr>
          <w:b/>
          <w:bCs/>
          <w:sz w:val="22"/>
          <w:szCs w:val="22"/>
        </w:rPr>
        <w:t>7. No Obligation</w:t>
      </w:r>
    </w:p>
    <w:p w14:paraId="5DFB08E0" w14:textId="77777777" w:rsidR="005B0C73" w:rsidRDefault="00000000">
      <w:pPr>
        <w:spacing w:after="160" w:line="276" w:lineRule="auto"/>
        <w:jc w:val="both"/>
      </w:pPr>
      <w:r>
        <w:rPr>
          <w:sz w:val="21"/>
          <w:szCs w:val="21"/>
        </w:rPr>
        <w:t xml:space="preserve">Nothing in this Agreement obligates either Party to disclose any </w:t>
      </w:r>
      <w:proofErr w:type="gramStart"/>
      <w:r>
        <w:rPr>
          <w:sz w:val="21"/>
          <w:szCs w:val="21"/>
        </w:rPr>
        <w:t>particular information</w:t>
      </w:r>
      <w:proofErr w:type="gramEnd"/>
      <w:r>
        <w:rPr>
          <w:sz w:val="21"/>
          <w:szCs w:val="21"/>
        </w:rPr>
        <w:t>, to enter into any further agreement (including any engagement or retainer agreement), or to proceed with the filing of any patent application.</w:t>
      </w:r>
    </w:p>
    <w:p w14:paraId="029065CD" w14:textId="77777777" w:rsidR="005B0C73" w:rsidRDefault="00000000">
      <w:pPr>
        <w:spacing w:before="240" w:after="100"/>
      </w:pPr>
      <w:r>
        <w:rPr>
          <w:b/>
          <w:bCs/>
          <w:sz w:val="22"/>
          <w:szCs w:val="22"/>
        </w:rPr>
        <w:t>8. Term and Duration of Confidentiality</w:t>
      </w:r>
    </w:p>
    <w:p w14:paraId="789E1694" w14:textId="77777777" w:rsidR="005B0C73" w:rsidRDefault="00000000">
      <w:pPr>
        <w:spacing w:after="160" w:line="276" w:lineRule="auto"/>
        <w:jc w:val="both"/>
      </w:pPr>
      <w:r>
        <w:rPr>
          <w:sz w:val="21"/>
          <w:szCs w:val="21"/>
        </w:rPr>
        <w:t xml:space="preserve">This Agreement is effective as of the Effective Date and will remain in effect until terminated by either Party upon [30] days' written notice to the other Party. Patent Agent's obligations of confidentiality and non-use under Sections 2 through 6 will survive termination of this Agreement and continue until the earliest of the following: (a) the Confidential Information falls within one of the exclusions in Section 3; (b) the Confidential Information </w:t>
      </w:r>
      <w:r>
        <w:rPr>
          <w:sz w:val="21"/>
          <w:szCs w:val="21"/>
        </w:rPr>
        <w:lastRenderedPageBreak/>
        <w:t>becomes part of a published patent application or issued patent claiming the Invention; or (c) [five (5) years] from the date of disclosure of the applicable Confidential Information — provided that, given the risk that premature public disclosure can destroy patent rights, the Parties intend for these confidentiality obligations to be construed and enforced as broadly and for as long as applicable law permits.</w:t>
      </w:r>
    </w:p>
    <w:p w14:paraId="63D512F1" w14:textId="77777777" w:rsidR="005B0C73" w:rsidRDefault="00000000">
      <w:pPr>
        <w:spacing w:before="240" w:after="100"/>
      </w:pPr>
      <w:r>
        <w:rPr>
          <w:b/>
          <w:bCs/>
          <w:sz w:val="22"/>
          <w:szCs w:val="22"/>
        </w:rPr>
        <w:t>9. Return or Destruction of Materials</w:t>
      </w:r>
    </w:p>
    <w:p w14:paraId="00449CF8" w14:textId="77777777" w:rsidR="005B0C73" w:rsidRDefault="00000000">
      <w:pPr>
        <w:spacing w:after="160" w:line="276" w:lineRule="auto"/>
        <w:jc w:val="both"/>
      </w:pPr>
      <w:r>
        <w:rPr>
          <w:sz w:val="21"/>
          <w:szCs w:val="21"/>
        </w:rPr>
        <w:t>Upon Client's written request, or upon termination of this Agreement, Patent Agent will promptly return to Client or destroy all documents, samples, prototypes, and other tangible materials containing Confidential Information, and will certify such return or destruction in writing, except that Patent Agent may retain one copy in its confidential client files as required by applicable rules of professional conduct or firm document-retention policy, subject to the continuing confidentiality obligations of this Agreement.</w:t>
      </w:r>
    </w:p>
    <w:p w14:paraId="63467B68" w14:textId="77777777" w:rsidR="005B0C73" w:rsidRDefault="00000000">
      <w:pPr>
        <w:spacing w:before="240" w:after="100"/>
      </w:pPr>
      <w:r>
        <w:rPr>
          <w:b/>
          <w:bCs/>
          <w:sz w:val="22"/>
          <w:szCs w:val="22"/>
        </w:rPr>
        <w:t>10. Remedies</w:t>
      </w:r>
    </w:p>
    <w:p w14:paraId="21F93028" w14:textId="77777777" w:rsidR="005B0C73" w:rsidRDefault="00000000">
      <w:pPr>
        <w:spacing w:after="160" w:line="276" w:lineRule="auto"/>
        <w:jc w:val="both"/>
      </w:pPr>
      <w:r>
        <w:rPr>
          <w:sz w:val="21"/>
          <w:szCs w:val="21"/>
        </w:rPr>
        <w:t>Client and Patent Agent acknowledge that unauthorized disclosure of Confidential Information relating to an unfiled patent application may cause irreparable harm to Client, including loss of patent rights, for which monetary damages may be an inadequate remedy. Accordingly, Client is entitled to seek injunctive or other equitable relief to prevent or curtail any actual or threatened breach of this Agreement, in addition to all other remedies available at law or in equity, without the necessity of posting a bond.</w:t>
      </w:r>
    </w:p>
    <w:p w14:paraId="6FB93B8E" w14:textId="77777777" w:rsidR="005B0C73" w:rsidRDefault="00000000">
      <w:pPr>
        <w:spacing w:before="240" w:after="100"/>
      </w:pPr>
      <w:r>
        <w:rPr>
          <w:b/>
          <w:bCs/>
          <w:sz w:val="22"/>
          <w:szCs w:val="22"/>
        </w:rPr>
        <w:t>11. No Warranty</w:t>
      </w:r>
    </w:p>
    <w:p w14:paraId="302EAC4D" w14:textId="77777777" w:rsidR="005B0C73" w:rsidRDefault="00000000">
      <w:pPr>
        <w:spacing w:after="160" w:line="276" w:lineRule="auto"/>
        <w:jc w:val="both"/>
      </w:pPr>
      <w:r>
        <w:rPr>
          <w:sz w:val="21"/>
          <w:szCs w:val="21"/>
        </w:rPr>
        <w:t>All Confidential Information is provided "as is." Client makes no representation or warranty regarding the accuracy or completeness of the Confidential Information.</w:t>
      </w:r>
    </w:p>
    <w:p w14:paraId="0994C73D" w14:textId="77777777" w:rsidR="005B0C73" w:rsidRDefault="00000000">
      <w:pPr>
        <w:spacing w:before="240" w:after="100"/>
      </w:pPr>
      <w:r>
        <w:rPr>
          <w:b/>
          <w:bCs/>
          <w:sz w:val="22"/>
          <w:szCs w:val="22"/>
        </w:rPr>
        <w:t>12. Governing Law; Venue</w:t>
      </w:r>
    </w:p>
    <w:p w14:paraId="2BAC2AA8" w14:textId="77777777" w:rsidR="005B0C73" w:rsidRDefault="00000000">
      <w:pPr>
        <w:spacing w:after="160" w:line="276" w:lineRule="auto"/>
        <w:jc w:val="both"/>
      </w:pPr>
      <w:r>
        <w:rPr>
          <w:sz w:val="21"/>
          <w:szCs w:val="21"/>
        </w:rPr>
        <w:t xml:space="preserve">This Agreement will be governed by and construed in accordance with the laws of the </w:t>
      </w:r>
      <w:r>
        <w:rPr>
          <w:b/>
          <w:bCs/>
          <w:sz w:val="21"/>
          <w:szCs w:val="21"/>
        </w:rPr>
        <w:t>State of Florida</w:t>
      </w:r>
      <w:r>
        <w:rPr>
          <w:sz w:val="21"/>
          <w:szCs w:val="21"/>
        </w:rPr>
        <w:t xml:space="preserve">, without regard to its conflict-of-laws principles. Any dispute arising out of or relating to this Agreement will be brought exclusively in the state courts located in </w:t>
      </w:r>
      <w:r>
        <w:rPr>
          <w:b/>
          <w:bCs/>
          <w:sz w:val="21"/>
          <w:szCs w:val="21"/>
        </w:rPr>
        <w:t>Volusia County, Florida</w:t>
      </w:r>
      <w:r>
        <w:rPr>
          <w:sz w:val="21"/>
          <w:szCs w:val="21"/>
        </w:rPr>
        <w:t xml:space="preserve">, or the </w:t>
      </w:r>
      <w:r>
        <w:rPr>
          <w:b/>
          <w:bCs/>
          <w:sz w:val="21"/>
          <w:szCs w:val="21"/>
        </w:rPr>
        <w:t>United States District Court for the Middle District of Florida</w:t>
      </w:r>
      <w:r>
        <w:rPr>
          <w:sz w:val="21"/>
          <w:szCs w:val="21"/>
        </w:rPr>
        <w:t>.</w:t>
      </w:r>
    </w:p>
    <w:p w14:paraId="06ED2B0D" w14:textId="77777777" w:rsidR="005B0C73" w:rsidRDefault="00000000">
      <w:pPr>
        <w:spacing w:before="240" w:after="100"/>
      </w:pPr>
      <w:r>
        <w:rPr>
          <w:b/>
          <w:bCs/>
          <w:sz w:val="22"/>
          <w:szCs w:val="22"/>
        </w:rPr>
        <w:t>13. Miscellaneous</w:t>
      </w:r>
    </w:p>
    <w:p w14:paraId="53995828" w14:textId="77777777" w:rsidR="005B0C73" w:rsidRDefault="00000000">
      <w:pPr>
        <w:spacing w:after="120" w:line="276" w:lineRule="auto"/>
        <w:ind w:left="360"/>
        <w:jc w:val="both"/>
      </w:pPr>
      <w:r>
        <w:rPr>
          <w:sz w:val="21"/>
          <w:szCs w:val="21"/>
        </w:rPr>
        <w:t xml:space="preserve">(a) </w:t>
      </w:r>
      <w:r>
        <w:rPr>
          <w:b/>
          <w:bCs/>
          <w:sz w:val="21"/>
          <w:szCs w:val="21"/>
        </w:rPr>
        <w:t>Entire Agreement.</w:t>
      </w:r>
      <w:r>
        <w:rPr>
          <w:sz w:val="21"/>
          <w:szCs w:val="21"/>
        </w:rPr>
        <w:t xml:space="preserve"> This Agreement constitutes the entire understanding between the Parties regarding its subject matter and supersedes all prior or contemporaneous agreements, oral or written, on that subject.</w:t>
      </w:r>
    </w:p>
    <w:p w14:paraId="3CD7C67B" w14:textId="77777777" w:rsidR="005B0C73" w:rsidRDefault="00000000">
      <w:pPr>
        <w:spacing w:after="120" w:line="276" w:lineRule="auto"/>
        <w:ind w:left="360"/>
        <w:jc w:val="both"/>
      </w:pPr>
      <w:r>
        <w:rPr>
          <w:sz w:val="21"/>
          <w:szCs w:val="21"/>
        </w:rPr>
        <w:t xml:space="preserve">(b) </w:t>
      </w:r>
      <w:r>
        <w:rPr>
          <w:b/>
          <w:bCs/>
          <w:sz w:val="21"/>
          <w:szCs w:val="21"/>
        </w:rPr>
        <w:t>Amendment.</w:t>
      </w:r>
      <w:r>
        <w:rPr>
          <w:sz w:val="21"/>
          <w:szCs w:val="21"/>
        </w:rPr>
        <w:t xml:space="preserve"> This Agreement may be amended only by a written instrument signed by both Parties.</w:t>
      </w:r>
    </w:p>
    <w:p w14:paraId="3CE62F41" w14:textId="77777777" w:rsidR="005B0C73" w:rsidRDefault="00000000">
      <w:pPr>
        <w:spacing w:after="120" w:line="276" w:lineRule="auto"/>
        <w:ind w:left="360"/>
        <w:jc w:val="both"/>
      </w:pPr>
      <w:r>
        <w:rPr>
          <w:sz w:val="21"/>
          <w:szCs w:val="21"/>
        </w:rPr>
        <w:t xml:space="preserve">(c) </w:t>
      </w:r>
      <w:r>
        <w:rPr>
          <w:b/>
          <w:bCs/>
          <w:sz w:val="21"/>
          <w:szCs w:val="21"/>
        </w:rPr>
        <w:t>Severability.</w:t>
      </w:r>
      <w:r>
        <w:rPr>
          <w:sz w:val="21"/>
          <w:szCs w:val="21"/>
        </w:rPr>
        <w:t xml:space="preserve"> If any provision of this Agreement is held unenforceable, the remaining provisions will remain in full force and effect, and the unenforceable provision will be modified to the minimum extent necessary to make it enforceable.</w:t>
      </w:r>
    </w:p>
    <w:p w14:paraId="65AFB0E5" w14:textId="77777777" w:rsidR="005B0C73" w:rsidRDefault="00000000">
      <w:pPr>
        <w:spacing w:after="120" w:line="276" w:lineRule="auto"/>
        <w:ind w:left="360"/>
        <w:jc w:val="both"/>
      </w:pPr>
      <w:r>
        <w:rPr>
          <w:sz w:val="21"/>
          <w:szCs w:val="21"/>
        </w:rPr>
        <w:t xml:space="preserve">(d) </w:t>
      </w:r>
      <w:r>
        <w:rPr>
          <w:b/>
          <w:bCs/>
          <w:sz w:val="21"/>
          <w:szCs w:val="21"/>
        </w:rPr>
        <w:t>No Waiver.</w:t>
      </w:r>
      <w:r>
        <w:rPr>
          <w:sz w:val="21"/>
          <w:szCs w:val="21"/>
        </w:rPr>
        <w:t xml:space="preserve"> Failure to enforce any provision of this Agreement will not constitute a waiver of that or any other provision.</w:t>
      </w:r>
    </w:p>
    <w:p w14:paraId="20222AB1" w14:textId="77777777" w:rsidR="005B0C73" w:rsidRDefault="00000000">
      <w:pPr>
        <w:spacing w:after="120" w:line="276" w:lineRule="auto"/>
        <w:ind w:left="360"/>
        <w:jc w:val="both"/>
      </w:pPr>
      <w:r>
        <w:rPr>
          <w:sz w:val="21"/>
          <w:szCs w:val="21"/>
        </w:rPr>
        <w:t xml:space="preserve">(e) </w:t>
      </w:r>
      <w:r>
        <w:rPr>
          <w:b/>
          <w:bCs/>
          <w:sz w:val="21"/>
          <w:szCs w:val="21"/>
        </w:rPr>
        <w:t>Assignment.</w:t>
      </w:r>
      <w:r>
        <w:rPr>
          <w:sz w:val="21"/>
          <w:szCs w:val="21"/>
        </w:rPr>
        <w:t xml:space="preserve"> Neither Party may assign this Agreement without the prior written consent of the other Party, except that Patent Agent may assign this Agreement to a successor firm in connection with a merger, acquisition, or change in firm structure, upon written notice to Client.</w:t>
      </w:r>
    </w:p>
    <w:p w14:paraId="59CC988C" w14:textId="77777777" w:rsidR="005B0C73" w:rsidRDefault="00000000">
      <w:pPr>
        <w:spacing w:after="120" w:line="276" w:lineRule="auto"/>
        <w:ind w:left="360"/>
        <w:jc w:val="both"/>
      </w:pPr>
      <w:r>
        <w:rPr>
          <w:sz w:val="21"/>
          <w:szCs w:val="21"/>
        </w:rPr>
        <w:t xml:space="preserve">(f) </w:t>
      </w:r>
      <w:r>
        <w:rPr>
          <w:b/>
          <w:bCs/>
          <w:sz w:val="21"/>
          <w:szCs w:val="21"/>
        </w:rPr>
        <w:t>Counterparts; Electronic Signature.</w:t>
      </w:r>
      <w:r>
        <w:rPr>
          <w:sz w:val="21"/>
          <w:szCs w:val="21"/>
        </w:rPr>
        <w:t xml:space="preserve"> This Agreement may be executed in counterparts, including by electronic or digital signature, each of which is deemed an original.</w:t>
      </w:r>
    </w:p>
    <w:p w14:paraId="1905214E" w14:textId="77777777" w:rsidR="005B0C73" w:rsidRDefault="00000000">
      <w:pPr>
        <w:spacing w:after="120" w:line="276" w:lineRule="auto"/>
        <w:ind w:left="360"/>
        <w:jc w:val="both"/>
      </w:pPr>
      <w:r>
        <w:rPr>
          <w:sz w:val="21"/>
          <w:szCs w:val="21"/>
        </w:rPr>
        <w:lastRenderedPageBreak/>
        <w:t xml:space="preserve">(g) </w:t>
      </w:r>
      <w:r>
        <w:rPr>
          <w:b/>
          <w:bCs/>
          <w:sz w:val="21"/>
          <w:szCs w:val="21"/>
        </w:rPr>
        <w:t>Notices.</w:t>
      </w:r>
      <w:r>
        <w:rPr>
          <w:sz w:val="21"/>
          <w:szCs w:val="21"/>
        </w:rPr>
        <w:t xml:space="preserve"> Any notice under this Agreement must be in writing and delivered to the address set forth above (or such other address as a Party designates in writing).</w:t>
      </w:r>
    </w:p>
    <w:p w14:paraId="74DB7D22" w14:textId="77777777" w:rsidR="005B0C73" w:rsidRDefault="00000000">
      <w:pPr>
        <w:spacing w:before="200" w:after="300" w:line="276" w:lineRule="auto"/>
        <w:jc w:val="both"/>
      </w:pPr>
      <w:r>
        <w:rPr>
          <w:sz w:val="21"/>
          <w:szCs w:val="21"/>
        </w:rPr>
        <w:t>IN WITNESS WHEREOF, the Parties have executed this Agreement as of the Effective Date.</w:t>
      </w:r>
    </w:p>
    <w:p w14:paraId="235C6C5A" w14:textId="77777777" w:rsidR="005B0C73" w:rsidRDefault="00000000">
      <w:pPr>
        <w:spacing w:after="400"/>
      </w:pPr>
      <w:r>
        <w:rPr>
          <w:b/>
          <w:bCs/>
          <w:sz w:val="21"/>
          <w:szCs w:val="21"/>
        </w:rPr>
        <w:t>DISCLOSING PARTY / CLIENT:</w:t>
      </w:r>
    </w:p>
    <w:p w14:paraId="2BB57ADC" w14:textId="77777777" w:rsidR="005B0C73" w:rsidRDefault="00000000">
      <w:pPr>
        <w:spacing w:after="60"/>
      </w:pPr>
      <w:r>
        <w:rPr>
          <w:sz w:val="21"/>
          <w:szCs w:val="21"/>
        </w:rPr>
        <w:t>Signature: ______________________________</w:t>
      </w:r>
    </w:p>
    <w:p w14:paraId="6C370C4E" w14:textId="77777777" w:rsidR="005B0C73" w:rsidRDefault="00000000">
      <w:pPr>
        <w:spacing w:after="60"/>
      </w:pPr>
      <w:r>
        <w:rPr>
          <w:sz w:val="21"/>
          <w:szCs w:val="21"/>
        </w:rPr>
        <w:t>Printed Name: [Client Name]</w:t>
      </w:r>
    </w:p>
    <w:p w14:paraId="16E009FE" w14:textId="77777777" w:rsidR="005B0C73" w:rsidRDefault="00000000">
      <w:pPr>
        <w:spacing w:after="60"/>
      </w:pPr>
      <w:r>
        <w:rPr>
          <w:sz w:val="21"/>
          <w:szCs w:val="21"/>
        </w:rPr>
        <w:t>Title (if applicable): [Title]</w:t>
      </w:r>
    </w:p>
    <w:p w14:paraId="2BEC2047" w14:textId="77777777" w:rsidR="005B0C73" w:rsidRDefault="00000000">
      <w:pPr>
        <w:spacing w:after="400"/>
      </w:pPr>
      <w:r>
        <w:rPr>
          <w:sz w:val="21"/>
          <w:szCs w:val="21"/>
        </w:rPr>
        <w:t>Date: ______________________</w:t>
      </w:r>
    </w:p>
    <w:p w14:paraId="1C9F16D1" w14:textId="77777777" w:rsidR="005B0C73" w:rsidRDefault="00000000">
      <w:pPr>
        <w:spacing w:after="400"/>
      </w:pPr>
      <w:r>
        <w:rPr>
          <w:b/>
          <w:bCs/>
          <w:sz w:val="21"/>
          <w:szCs w:val="21"/>
        </w:rPr>
        <w:t>RECEIVING PARTY / PATENT AGENT:</w:t>
      </w:r>
    </w:p>
    <w:p w14:paraId="1E3B0D4B" w14:textId="77777777" w:rsidR="005B0C73" w:rsidRDefault="00000000">
      <w:pPr>
        <w:spacing w:after="60"/>
      </w:pPr>
      <w:r>
        <w:rPr>
          <w:sz w:val="21"/>
          <w:szCs w:val="21"/>
        </w:rPr>
        <w:t>Signature: ______________________________</w:t>
      </w:r>
    </w:p>
    <w:p w14:paraId="5A79C704" w14:textId="1A313868" w:rsidR="005B0C73" w:rsidRDefault="00000000">
      <w:pPr>
        <w:spacing w:after="60"/>
      </w:pPr>
      <w:r>
        <w:rPr>
          <w:sz w:val="21"/>
          <w:szCs w:val="21"/>
        </w:rPr>
        <w:t xml:space="preserve">Printed Name: </w:t>
      </w:r>
      <w:r w:rsidR="006868E7">
        <w:rPr>
          <w:sz w:val="21"/>
          <w:szCs w:val="21"/>
        </w:rPr>
        <w:t>Bahman Aghdasi</w:t>
      </w:r>
    </w:p>
    <w:p w14:paraId="0CD4DD51" w14:textId="09251357" w:rsidR="005B0C73" w:rsidRDefault="00000000">
      <w:pPr>
        <w:spacing w:after="60"/>
      </w:pPr>
      <w:r>
        <w:rPr>
          <w:sz w:val="21"/>
          <w:szCs w:val="21"/>
        </w:rPr>
        <w:t xml:space="preserve">USPTO Registration No.: </w:t>
      </w:r>
      <w:r w:rsidR="006868E7">
        <w:rPr>
          <w:sz w:val="21"/>
          <w:szCs w:val="21"/>
        </w:rPr>
        <w:t>59,346</w:t>
      </w:r>
    </w:p>
    <w:p w14:paraId="5D3B1F60" w14:textId="1B75C636" w:rsidR="005B0C73" w:rsidRDefault="00000000">
      <w:pPr>
        <w:spacing w:after="60"/>
      </w:pPr>
      <w:r>
        <w:rPr>
          <w:sz w:val="21"/>
          <w:szCs w:val="21"/>
        </w:rPr>
        <w:t xml:space="preserve">Firm: </w:t>
      </w:r>
      <w:proofErr w:type="spellStart"/>
      <w:r w:rsidR="006868E7">
        <w:rPr>
          <w:sz w:val="21"/>
          <w:szCs w:val="21"/>
        </w:rPr>
        <w:t>MarketPath</w:t>
      </w:r>
      <w:proofErr w:type="spellEnd"/>
      <w:r w:rsidR="006868E7">
        <w:rPr>
          <w:sz w:val="21"/>
          <w:szCs w:val="21"/>
        </w:rPr>
        <w:t xml:space="preserve"> IP</w:t>
      </w:r>
    </w:p>
    <w:p w14:paraId="402F937F" w14:textId="77777777" w:rsidR="005B0C73" w:rsidRDefault="00000000">
      <w:pPr>
        <w:spacing w:after="400"/>
      </w:pPr>
      <w:r>
        <w:rPr>
          <w:sz w:val="21"/>
          <w:szCs w:val="21"/>
        </w:rPr>
        <w:t>Date: ______________________</w:t>
      </w:r>
    </w:p>
    <w:sectPr w:rsidR="005B0C73">
      <w:footerReference w:type="default" r:id="rId7"/>
      <w:pgSz w:w="12240" w:h="15840"/>
      <w:pgMar w:top="1296" w:right="1440" w:bottom="1296"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775ABE" w14:textId="77777777" w:rsidR="004F7E6F" w:rsidRDefault="004F7E6F">
      <w:r>
        <w:separator/>
      </w:r>
    </w:p>
  </w:endnote>
  <w:endnote w:type="continuationSeparator" w:id="0">
    <w:p w14:paraId="0FE77BA5" w14:textId="77777777" w:rsidR="004F7E6F" w:rsidRDefault="004F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A5AFCF" w14:textId="77777777" w:rsidR="005B0C73" w:rsidRDefault="00000000">
    <w:pPr>
      <w:jc w:val="center"/>
    </w:pPr>
    <w:r>
      <w:rPr>
        <w:color w:val="666666"/>
        <w:sz w:val="16"/>
        <w:szCs w:val="16"/>
      </w:rPr>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6868E7">
      <w:rPr>
        <w:noProof/>
        <w:color w:val="666666"/>
        <w:sz w:val="16"/>
        <w:szCs w:val="16"/>
      </w:rPr>
      <w:t>1</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2C176D" w14:textId="77777777" w:rsidR="004F7E6F" w:rsidRDefault="004F7E6F">
      <w:r>
        <w:separator/>
      </w:r>
    </w:p>
  </w:footnote>
  <w:footnote w:type="continuationSeparator" w:id="0">
    <w:p w14:paraId="4EE5F560" w14:textId="77777777" w:rsidR="004F7E6F" w:rsidRDefault="004F7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C70DE"/>
    <w:multiLevelType w:val="hybridMultilevel"/>
    <w:tmpl w:val="85A0CCFE"/>
    <w:lvl w:ilvl="0" w:tplc="AD1EC5EA">
      <w:start w:val="1"/>
      <w:numFmt w:val="bullet"/>
      <w:lvlText w:val="●"/>
      <w:lvlJc w:val="left"/>
      <w:pPr>
        <w:ind w:left="720" w:hanging="360"/>
      </w:pPr>
    </w:lvl>
    <w:lvl w:ilvl="1" w:tplc="1BD634D2">
      <w:start w:val="1"/>
      <w:numFmt w:val="bullet"/>
      <w:lvlText w:val="○"/>
      <w:lvlJc w:val="left"/>
      <w:pPr>
        <w:ind w:left="1440" w:hanging="360"/>
      </w:pPr>
    </w:lvl>
    <w:lvl w:ilvl="2" w:tplc="EB628EE0">
      <w:start w:val="1"/>
      <w:numFmt w:val="bullet"/>
      <w:lvlText w:val="■"/>
      <w:lvlJc w:val="left"/>
      <w:pPr>
        <w:ind w:left="2160" w:hanging="360"/>
      </w:pPr>
    </w:lvl>
    <w:lvl w:ilvl="3" w:tplc="978448E6">
      <w:start w:val="1"/>
      <w:numFmt w:val="bullet"/>
      <w:lvlText w:val="●"/>
      <w:lvlJc w:val="left"/>
      <w:pPr>
        <w:ind w:left="2880" w:hanging="360"/>
      </w:pPr>
    </w:lvl>
    <w:lvl w:ilvl="4" w:tplc="1CD203AA">
      <w:start w:val="1"/>
      <w:numFmt w:val="bullet"/>
      <w:lvlText w:val="○"/>
      <w:lvlJc w:val="left"/>
      <w:pPr>
        <w:ind w:left="3600" w:hanging="360"/>
      </w:pPr>
    </w:lvl>
    <w:lvl w:ilvl="5" w:tplc="F45892B8">
      <w:start w:val="1"/>
      <w:numFmt w:val="bullet"/>
      <w:lvlText w:val="■"/>
      <w:lvlJc w:val="left"/>
      <w:pPr>
        <w:ind w:left="4320" w:hanging="360"/>
      </w:pPr>
    </w:lvl>
    <w:lvl w:ilvl="6" w:tplc="49665312">
      <w:start w:val="1"/>
      <w:numFmt w:val="bullet"/>
      <w:lvlText w:val="●"/>
      <w:lvlJc w:val="left"/>
      <w:pPr>
        <w:ind w:left="5040" w:hanging="360"/>
      </w:pPr>
    </w:lvl>
    <w:lvl w:ilvl="7" w:tplc="39942D40">
      <w:start w:val="1"/>
      <w:numFmt w:val="bullet"/>
      <w:lvlText w:val="●"/>
      <w:lvlJc w:val="left"/>
      <w:pPr>
        <w:ind w:left="5760" w:hanging="360"/>
      </w:pPr>
    </w:lvl>
    <w:lvl w:ilvl="8" w:tplc="73F05D70">
      <w:start w:val="1"/>
      <w:numFmt w:val="bullet"/>
      <w:lvlText w:val="●"/>
      <w:lvlJc w:val="left"/>
      <w:pPr>
        <w:ind w:left="6480" w:hanging="360"/>
      </w:pPr>
    </w:lvl>
  </w:abstractNum>
  <w:abstractNum w:abstractNumId="1" w15:restartNumberingAfterBreak="0">
    <w:nsid w:val="17455DEE"/>
    <w:multiLevelType w:val="hybridMultilevel"/>
    <w:tmpl w:val="5C58F614"/>
    <w:lvl w:ilvl="0" w:tplc="F22AC11E">
      <w:start w:val="1"/>
      <w:numFmt w:val="bullet"/>
      <w:lvlText w:val="•"/>
      <w:lvlJc w:val="left"/>
      <w:pPr>
        <w:ind w:left="360" w:hanging="360"/>
      </w:pPr>
    </w:lvl>
    <w:lvl w:ilvl="1" w:tplc="11CAC948">
      <w:numFmt w:val="decimal"/>
      <w:lvlText w:val=""/>
      <w:lvlJc w:val="left"/>
    </w:lvl>
    <w:lvl w:ilvl="2" w:tplc="5B6EECDC">
      <w:numFmt w:val="decimal"/>
      <w:lvlText w:val=""/>
      <w:lvlJc w:val="left"/>
    </w:lvl>
    <w:lvl w:ilvl="3" w:tplc="688A0938">
      <w:numFmt w:val="decimal"/>
      <w:lvlText w:val=""/>
      <w:lvlJc w:val="left"/>
    </w:lvl>
    <w:lvl w:ilvl="4" w:tplc="F2DECE96">
      <w:numFmt w:val="decimal"/>
      <w:lvlText w:val=""/>
      <w:lvlJc w:val="left"/>
    </w:lvl>
    <w:lvl w:ilvl="5" w:tplc="D5CEEABE">
      <w:numFmt w:val="decimal"/>
      <w:lvlText w:val=""/>
      <w:lvlJc w:val="left"/>
    </w:lvl>
    <w:lvl w:ilvl="6" w:tplc="1A20AEC8">
      <w:numFmt w:val="decimal"/>
      <w:lvlText w:val=""/>
      <w:lvlJc w:val="left"/>
    </w:lvl>
    <w:lvl w:ilvl="7" w:tplc="AA62E114">
      <w:numFmt w:val="decimal"/>
      <w:lvlText w:val=""/>
      <w:lvlJc w:val="left"/>
    </w:lvl>
    <w:lvl w:ilvl="8" w:tplc="5BFE90FE">
      <w:numFmt w:val="decimal"/>
      <w:lvlText w:val=""/>
      <w:lvlJc w:val="left"/>
    </w:lvl>
  </w:abstractNum>
  <w:num w:numId="1" w16cid:durableId="1534151224">
    <w:abstractNumId w:val="0"/>
    <w:lvlOverride w:ilvl="0">
      <w:startOverride w:val="1"/>
    </w:lvlOverride>
  </w:num>
  <w:num w:numId="2" w16cid:durableId="253512785">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C73"/>
    <w:rsid w:val="001B5CEC"/>
    <w:rsid w:val="00202EB7"/>
    <w:rsid w:val="004F7E6F"/>
    <w:rsid w:val="005B0C73"/>
    <w:rsid w:val="0068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2488DA"/>
  <w15:docId w15:val="{A5492F31-6F11-F44F-B7E0-04A007DF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1730</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Ben Aghdasi</cp:lastModifiedBy>
  <cp:revision>2</cp:revision>
  <dcterms:created xsi:type="dcterms:W3CDTF">2026-09-06T23:02:00Z</dcterms:created>
  <dcterms:modified xsi:type="dcterms:W3CDTF">2026-09-06T23:02:00Z</dcterms:modified>
</cp:coreProperties>
</file>