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604600F3" w14:textId="3A596E15" w:rsidR="004E08C5" w:rsidRDefault="004E08C5"/>
    <w:p w14:paraId="789F447D" w14:textId="77777777" w:rsidR="004E08C5" w:rsidRDefault="00000000">
      <w:pPr>
        <w:spacing w:after="80"/>
        <w:jc w:val="center"/>
      </w:pPr>
      <w:r>
        <w:rPr>
          <w:b/>
          <w:bCs/>
          <w:sz w:val="30"/>
          <w:szCs w:val="30"/>
        </w:rPr>
        <w:t>PATENT CONSULTING SERVICES AGREEMENT</w:t>
      </w:r>
    </w:p>
    <w:p w14:paraId="111363ED" w14:textId="77777777" w:rsidR="004E08C5" w:rsidRDefault="004E08C5">
      <w:pPr>
        <w:pBdr>
          <w:bottom w:val="single" w:sz="8" w:space="4" w:color="999999"/>
        </w:pBdr>
        <w:spacing w:after="200"/>
      </w:pPr>
    </w:p>
    <w:p w14:paraId="2FED3FF5" w14:textId="77777777" w:rsidR="004E08C5" w:rsidRDefault="00000000">
      <w:pPr>
        <w:spacing w:after="160" w:line="276" w:lineRule="auto"/>
        <w:jc w:val="both"/>
      </w:pPr>
      <w:r>
        <w:rPr>
          <w:sz w:val="21"/>
          <w:szCs w:val="21"/>
        </w:rPr>
        <w:t>This Patent Consulting Services Agreement (the "</w:t>
      </w:r>
      <w:r>
        <w:rPr>
          <w:b/>
          <w:bCs/>
          <w:sz w:val="21"/>
          <w:szCs w:val="21"/>
        </w:rPr>
        <w:t>Agreement</w:t>
      </w:r>
      <w:r>
        <w:rPr>
          <w:sz w:val="21"/>
          <w:szCs w:val="21"/>
        </w:rPr>
        <w:t>") is entered into as of ________________________ [Date] (the "</w:t>
      </w:r>
      <w:r>
        <w:rPr>
          <w:b/>
          <w:bCs/>
          <w:sz w:val="21"/>
          <w:szCs w:val="21"/>
        </w:rPr>
        <w:t>Effective Date</w:t>
      </w:r>
      <w:r>
        <w:rPr>
          <w:sz w:val="21"/>
          <w:szCs w:val="21"/>
        </w:rPr>
        <w:t>"), by and between:</w:t>
      </w:r>
    </w:p>
    <w:p w14:paraId="3BBB7112" w14:textId="77777777" w:rsidR="004E08C5" w:rsidRDefault="00000000">
      <w:pPr>
        <w:spacing w:after="160" w:line="276" w:lineRule="auto"/>
        <w:jc w:val="both"/>
      </w:pPr>
      <w:r>
        <w:rPr>
          <w:b/>
          <w:bCs/>
          <w:sz w:val="21"/>
          <w:szCs w:val="21"/>
        </w:rPr>
        <w:t>[Patent Agent / Firm Name]</w:t>
      </w:r>
      <w:r>
        <w:rPr>
          <w:sz w:val="21"/>
          <w:szCs w:val="21"/>
        </w:rPr>
        <w:t>, a patent agent / patent attorney / law firm registered to practice before the United States Patent and Trademark Office (Registration No. [Registration Number]), with a principal place of business at [Firm Address] ("</w:t>
      </w:r>
      <w:r>
        <w:rPr>
          <w:b/>
          <w:bCs/>
          <w:sz w:val="21"/>
          <w:szCs w:val="21"/>
        </w:rPr>
        <w:t>Consultant</w:t>
      </w:r>
      <w:r>
        <w:rPr>
          <w:sz w:val="21"/>
          <w:szCs w:val="21"/>
        </w:rPr>
        <w:t>"),</w:t>
      </w:r>
    </w:p>
    <w:p w14:paraId="20ED9BEE" w14:textId="77777777" w:rsidR="004E08C5" w:rsidRDefault="00000000">
      <w:pPr>
        <w:spacing w:after="160" w:line="276" w:lineRule="auto"/>
        <w:jc w:val="both"/>
      </w:pPr>
      <w:r>
        <w:rPr>
          <w:sz w:val="21"/>
          <w:szCs w:val="21"/>
        </w:rPr>
        <w:t>and</w:t>
      </w:r>
    </w:p>
    <w:p w14:paraId="5683AB83" w14:textId="77777777" w:rsidR="004E08C5" w:rsidRDefault="00000000">
      <w:pPr>
        <w:spacing w:after="160" w:line="276" w:lineRule="auto"/>
        <w:jc w:val="both"/>
      </w:pPr>
      <w:r>
        <w:rPr>
          <w:b/>
          <w:bCs/>
          <w:sz w:val="21"/>
          <w:szCs w:val="21"/>
        </w:rPr>
        <w:t>[Client Full Name / Entity Name]</w:t>
      </w:r>
      <w:r>
        <w:rPr>
          <w:sz w:val="21"/>
          <w:szCs w:val="21"/>
        </w:rPr>
        <w:t>, with an address at [Client Address] ("</w:t>
      </w:r>
      <w:r>
        <w:rPr>
          <w:b/>
          <w:bCs/>
          <w:sz w:val="21"/>
          <w:szCs w:val="21"/>
        </w:rPr>
        <w:t>Client</w:t>
      </w:r>
      <w:r>
        <w:rPr>
          <w:sz w:val="21"/>
          <w:szCs w:val="21"/>
        </w:rPr>
        <w:t>").</w:t>
      </w:r>
    </w:p>
    <w:p w14:paraId="1457A752" w14:textId="77777777" w:rsidR="004E08C5" w:rsidRDefault="00000000">
      <w:pPr>
        <w:spacing w:after="160" w:line="276" w:lineRule="auto"/>
        <w:jc w:val="both"/>
      </w:pPr>
      <w:r>
        <w:rPr>
          <w:sz w:val="21"/>
          <w:szCs w:val="21"/>
        </w:rPr>
        <w:t>Consultant and Client are each a "</w:t>
      </w:r>
      <w:r>
        <w:rPr>
          <w:b/>
          <w:bCs/>
          <w:sz w:val="21"/>
          <w:szCs w:val="21"/>
        </w:rPr>
        <w:t>Party</w:t>
      </w:r>
      <w:r>
        <w:rPr>
          <w:sz w:val="21"/>
          <w:szCs w:val="21"/>
        </w:rPr>
        <w:t>" and together the "</w:t>
      </w:r>
      <w:r>
        <w:rPr>
          <w:b/>
          <w:bCs/>
          <w:sz w:val="21"/>
          <w:szCs w:val="21"/>
        </w:rPr>
        <w:t>Parties</w:t>
      </w:r>
      <w:r>
        <w:rPr>
          <w:sz w:val="21"/>
          <w:szCs w:val="21"/>
        </w:rPr>
        <w:t>."</w:t>
      </w:r>
    </w:p>
    <w:p w14:paraId="01BAA965" w14:textId="77777777" w:rsidR="004E08C5" w:rsidRDefault="00000000">
      <w:pPr>
        <w:spacing w:before="200" w:after="100"/>
      </w:pPr>
      <w:r>
        <w:rPr>
          <w:b/>
          <w:bCs/>
          <w:sz w:val="22"/>
          <w:szCs w:val="22"/>
        </w:rPr>
        <w:t>RECITALS</w:t>
      </w:r>
    </w:p>
    <w:p w14:paraId="7101286F" w14:textId="77777777" w:rsidR="004E08C5" w:rsidRDefault="00000000">
      <w:pPr>
        <w:spacing w:after="160" w:line="276" w:lineRule="auto"/>
        <w:jc w:val="both"/>
      </w:pPr>
      <w:proofErr w:type="gramStart"/>
      <w:r>
        <w:rPr>
          <w:sz w:val="21"/>
          <w:szCs w:val="21"/>
        </w:rPr>
        <w:t>WHEREAS,</w:t>
      </w:r>
      <w:proofErr w:type="gramEnd"/>
      <w:r>
        <w:rPr>
          <w:sz w:val="21"/>
          <w:szCs w:val="21"/>
        </w:rPr>
        <w:t xml:space="preserve"> Client wishes to engage Consultant to provide certain patent-related consulting services described in this Agreement and any attached Statement of Work; and</w:t>
      </w:r>
    </w:p>
    <w:p w14:paraId="547912A0" w14:textId="77777777" w:rsidR="004E08C5" w:rsidRDefault="00000000">
      <w:pPr>
        <w:spacing w:after="160" w:line="276" w:lineRule="auto"/>
        <w:jc w:val="both"/>
      </w:pPr>
      <w:proofErr w:type="gramStart"/>
      <w:r>
        <w:rPr>
          <w:sz w:val="21"/>
          <w:szCs w:val="21"/>
        </w:rPr>
        <w:t>WHEREAS,</w:t>
      </w:r>
      <w:proofErr w:type="gramEnd"/>
      <w:r>
        <w:rPr>
          <w:sz w:val="21"/>
          <w:szCs w:val="21"/>
        </w:rPr>
        <w:t xml:space="preserve"> Consultant is willing to provide such services on the terms set forth below;</w:t>
      </w:r>
    </w:p>
    <w:p w14:paraId="43CC6EE6" w14:textId="77777777" w:rsidR="004E08C5" w:rsidRDefault="00000000">
      <w:pPr>
        <w:spacing w:after="160" w:line="276" w:lineRule="auto"/>
        <w:jc w:val="both"/>
      </w:pPr>
      <w:r>
        <w:rPr>
          <w:sz w:val="21"/>
          <w:szCs w:val="21"/>
        </w:rPr>
        <w:t>NOW, THEREFORE, in consideration of the mutual promises contained herein, the Parties agree as follows:</w:t>
      </w:r>
    </w:p>
    <w:p w14:paraId="14C7412D" w14:textId="77777777" w:rsidR="004E08C5" w:rsidRDefault="00000000">
      <w:pPr>
        <w:spacing w:before="240" w:after="100"/>
      </w:pPr>
      <w:r>
        <w:rPr>
          <w:b/>
          <w:bCs/>
          <w:sz w:val="22"/>
          <w:szCs w:val="22"/>
        </w:rPr>
        <w:t>1. Services</w:t>
      </w:r>
    </w:p>
    <w:p w14:paraId="3B1C2A19" w14:textId="77777777" w:rsidR="004E08C5" w:rsidRDefault="00000000">
      <w:pPr>
        <w:spacing w:after="160" w:line="276" w:lineRule="auto"/>
        <w:jc w:val="both"/>
      </w:pPr>
      <w:r>
        <w:rPr>
          <w:sz w:val="21"/>
          <w:szCs w:val="21"/>
        </w:rPr>
        <w:t xml:space="preserve">Consultant will provide the patent consulting services described in the Statement of Work attached as </w:t>
      </w:r>
      <w:r>
        <w:rPr>
          <w:b/>
          <w:bCs/>
          <w:sz w:val="21"/>
          <w:szCs w:val="21"/>
        </w:rPr>
        <w:t>Exhibit A</w:t>
      </w:r>
      <w:r>
        <w:rPr>
          <w:sz w:val="21"/>
          <w:szCs w:val="21"/>
        </w:rPr>
        <w:t xml:space="preserve"> (the "</w:t>
      </w:r>
      <w:r>
        <w:rPr>
          <w:b/>
          <w:bCs/>
          <w:sz w:val="21"/>
          <w:szCs w:val="21"/>
        </w:rPr>
        <w:t>Services</w:t>
      </w:r>
      <w:r>
        <w:rPr>
          <w:sz w:val="21"/>
          <w:szCs w:val="21"/>
        </w:rPr>
        <w:t>"), which may include, without limitation, patentability and prior-art searches, invention disclosure review, intellectual property strategy advice, and preparation, filing, and prosecution of one or more patent applications before the USPTO. Additional or different Services may be added only by a written, signed amendment to Exhibit A or a new Statement of Work referencing this Agreement.</w:t>
      </w:r>
    </w:p>
    <w:p w14:paraId="4287D740" w14:textId="77777777" w:rsidR="004E08C5" w:rsidRDefault="00000000">
      <w:pPr>
        <w:spacing w:before="240" w:after="100"/>
      </w:pPr>
      <w:r>
        <w:rPr>
          <w:b/>
          <w:bCs/>
          <w:sz w:val="22"/>
          <w:szCs w:val="22"/>
        </w:rPr>
        <w:t>2. Term and Termination</w:t>
      </w:r>
    </w:p>
    <w:p w14:paraId="705987BE" w14:textId="77777777" w:rsidR="004E08C5" w:rsidRDefault="00000000">
      <w:pPr>
        <w:spacing w:after="120" w:line="276" w:lineRule="auto"/>
        <w:ind w:left="360"/>
        <w:jc w:val="both"/>
      </w:pPr>
      <w:r>
        <w:rPr>
          <w:sz w:val="21"/>
          <w:szCs w:val="21"/>
        </w:rPr>
        <w:t xml:space="preserve">(a) </w:t>
      </w:r>
      <w:r>
        <w:rPr>
          <w:b/>
          <w:bCs/>
          <w:sz w:val="21"/>
          <w:szCs w:val="21"/>
        </w:rPr>
        <w:t>Term.</w:t>
      </w:r>
      <w:r>
        <w:rPr>
          <w:sz w:val="21"/>
          <w:szCs w:val="21"/>
        </w:rPr>
        <w:t xml:space="preserve"> This Agreement begins on the Effective Date and continues until the Services described in Exhibit A are completed, unless terminated earlier as provided below.</w:t>
      </w:r>
    </w:p>
    <w:p w14:paraId="35B96787" w14:textId="77777777" w:rsidR="004E08C5" w:rsidRDefault="00000000">
      <w:pPr>
        <w:spacing w:after="120" w:line="276" w:lineRule="auto"/>
        <w:ind w:left="360"/>
        <w:jc w:val="both"/>
      </w:pPr>
      <w:r>
        <w:rPr>
          <w:sz w:val="21"/>
          <w:szCs w:val="21"/>
        </w:rPr>
        <w:t xml:space="preserve">(b) </w:t>
      </w:r>
      <w:r>
        <w:rPr>
          <w:b/>
          <w:bCs/>
          <w:sz w:val="21"/>
          <w:szCs w:val="21"/>
        </w:rPr>
        <w:t>Termination for Convenience.</w:t>
      </w:r>
      <w:r>
        <w:rPr>
          <w:sz w:val="21"/>
          <w:szCs w:val="21"/>
        </w:rPr>
        <w:t xml:space="preserve"> Either Party may terminate this Agreement, or any Statement of Work, for any reason upon [30] days' prior written notice to the other Party.</w:t>
      </w:r>
    </w:p>
    <w:p w14:paraId="24C58847" w14:textId="77777777" w:rsidR="004E08C5" w:rsidRDefault="00000000">
      <w:pPr>
        <w:spacing w:after="120" w:line="276" w:lineRule="auto"/>
        <w:ind w:left="360"/>
        <w:jc w:val="both"/>
      </w:pPr>
      <w:r>
        <w:rPr>
          <w:sz w:val="21"/>
          <w:szCs w:val="21"/>
        </w:rPr>
        <w:t xml:space="preserve">(c) </w:t>
      </w:r>
      <w:r>
        <w:rPr>
          <w:b/>
          <w:bCs/>
          <w:sz w:val="21"/>
          <w:szCs w:val="21"/>
        </w:rPr>
        <w:t>Termination for Cause.</w:t>
      </w:r>
      <w:r>
        <w:rPr>
          <w:sz w:val="21"/>
          <w:szCs w:val="21"/>
        </w:rPr>
        <w:t xml:space="preserve"> Either Party may terminate this Agreement immediately upon written notice if the other Party materially breaches this Agreement and fails to cure such breach within [10] days after receiving written notice describing the breach.</w:t>
      </w:r>
    </w:p>
    <w:p w14:paraId="4909C44A" w14:textId="77777777" w:rsidR="004E08C5" w:rsidRDefault="00000000">
      <w:pPr>
        <w:spacing w:after="120" w:line="276" w:lineRule="auto"/>
        <w:ind w:left="360"/>
        <w:jc w:val="both"/>
      </w:pPr>
      <w:r>
        <w:rPr>
          <w:sz w:val="21"/>
          <w:szCs w:val="21"/>
        </w:rPr>
        <w:t xml:space="preserve">(d) </w:t>
      </w:r>
      <w:r>
        <w:rPr>
          <w:b/>
          <w:bCs/>
          <w:sz w:val="21"/>
          <w:szCs w:val="21"/>
        </w:rPr>
        <w:t>Effect of Termination.</w:t>
      </w:r>
      <w:r>
        <w:rPr>
          <w:sz w:val="21"/>
          <w:szCs w:val="21"/>
        </w:rPr>
        <w:t xml:space="preserve"> Upon termination, Client will pay Consultant for all Services performed and expenses properly incurred through the effective date of termination. Consultant will deliver to Client all completed and in-progress work product for which Client has </w:t>
      </w:r>
      <w:proofErr w:type="gramStart"/>
      <w:r>
        <w:rPr>
          <w:sz w:val="21"/>
          <w:szCs w:val="21"/>
        </w:rPr>
        <w:t>paid, and</w:t>
      </w:r>
      <w:proofErr w:type="gramEnd"/>
      <w:r>
        <w:rPr>
          <w:sz w:val="21"/>
          <w:szCs w:val="21"/>
        </w:rPr>
        <w:t xml:space="preserve"> will reasonably cooperate to transition any pending USPTO matters, including timely notice of any outstanding deadlines, to avoid loss of rights.</w:t>
      </w:r>
    </w:p>
    <w:p w14:paraId="16BC2314" w14:textId="77777777" w:rsidR="004E08C5" w:rsidRDefault="00000000">
      <w:pPr>
        <w:spacing w:before="240" w:after="100"/>
      </w:pPr>
      <w:r>
        <w:rPr>
          <w:b/>
          <w:bCs/>
          <w:sz w:val="22"/>
          <w:szCs w:val="22"/>
        </w:rPr>
        <w:t>3. Fees and Payment</w:t>
      </w:r>
    </w:p>
    <w:p w14:paraId="4A9A61B9" w14:textId="77777777" w:rsidR="004E08C5" w:rsidRDefault="00000000">
      <w:pPr>
        <w:spacing w:after="160" w:line="276" w:lineRule="auto"/>
        <w:jc w:val="both"/>
      </w:pPr>
      <w:r>
        <w:rPr>
          <w:sz w:val="21"/>
          <w:szCs w:val="21"/>
        </w:rPr>
        <w:lastRenderedPageBreak/>
        <w:t>The Parties will use the following fee structure for the Services (select and complete one option; delete the options not used):</w:t>
      </w:r>
    </w:p>
    <w:p w14:paraId="1FA3DD89" w14:textId="77777777" w:rsidR="004E08C5" w:rsidRDefault="00000000">
      <w:pPr>
        <w:spacing w:before="160" w:after="80"/>
      </w:pPr>
      <w:r>
        <w:rPr>
          <w:b/>
          <w:bCs/>
          <w:i/>
          <w:iCs/>
          <w:sz w:val="21"/>
          <w:szCs w:val="21"/>
        </w:rPr>
        <w:t>Option A — Hourly Fee</w:t>
      </w:r>
    </w:p>
    <w:p w14:paraId="6C7696C0" w14:textId="77777777" w:rsidR="004E08C5" w:rsidRDefault="00000000">
      <w:pPr>
        <w:spacing w:after="160" w:line="276" w:lineRule="auto"/>
        <w:jc w:val="both"/>
      </w:pPr>
      <w:r>
        <w:rPr>
          <w:sz w:val="21"/>
          <w:szCs w:val="21"/>
        </w:rPr>
        <w:t>Client will pay Consultant at the rate of $[Rate] per hour for time spent performing the Services, billed in increments of [0.1] hour. Consultant will provide Client with a good-faith estimate of anticipated hours for a given task upon request, which is an estimate only and not a fixed price.</w:t>
      </w:r>
    </w:p>
    <w:p w14:paraId="1C82369E" w14:textId="77777777" w:rsidR="004E08C5" w:rsidRDefault="00000000">
      <w:pPr>
        <w:spacing w:before="160" w:after="80"/>
      </w:pPr>
      <w:r>
        <w:rPr>
          <w:b/>
          <w:bCs/>
          <w:i/>
          <w:iCs/>
          <w:sz w:val="21"/>
          <w:szCs w:val="21"/>
        </w:rPr>
        <w:t>Option B — Flat Fee / Milestone Fee</w:t>
      </w:r>
    </w:p>
    <w:p w14:paraId="4A761068" w14:textId="77777777" w:rsidR="004E08C5" w:rsidRDefault="00000000">
      <w:pPr>
        <w:spacing w:after="160" w:line="276" w:lineRule="auto"/>
        <w:jc w:val="both"/>
      </w:pPr>
      <w:r>
        <w:rPr>
          <w:sz w:val="21"/>
          <w:szCs w:val="21"/>
        </w:rPr>
        <w:t>Client will pay Consultant a flat fee of $[Amount] for the Services described in Exhibit A, payable as follows: $[Amount] upon execution of this Agreement, and the balance upon [completion of Services / achievement of the milestones set forth in Exhibit A]. Services outside the scope defined in Exhibit A will be billed separately at Consultant's then-current hourly rate of $[Rate] per hour, or under a separate written agreement.</w:t>
      </w:r>
    </w:p>
    <w:p w14:paraId="2E604AC9" w14:textId="77777777" w:rsidR="004E08C5" w:rsidRDefault="00000000">
      <w:pPr>
        <w:spacing w:before="160" w:after="80"/>
      </w:pPr>
      <w:r>
        <w:rPr>
          <w:b/>
          <w:bCs/>
          <w:i/>
          <w:iCs/>
          <w:sz w:val="21"/>
          <w:szCs w:val="21"/>
        </w:rPr>
        <w:t>Option C — Retainer Plus Hourly</w:t>
      </w:r>
    </w:p>
    <w:p w14:paraId="3F21D52A" w14:textId="77777777" w:rsidR="004E08C5" w:rsidRDefault="00000000">
      <w:pPr>
        <w:spacing w:after="160" w:line="276" w:lineRule="auto"/>
        <w:jc w:val="both"/>
      </w:pPr>
      <w:r>
        <w:rPr>
          <w:sz w:val="21"/>
          <w:szCs w:val="21"/>
        </w:rPr>
        <w:t>Client will pay Consultant an initial retainer of $[Amount], to be held and applied against fees for Services billed at Consultant's hourly rate of $[Rate] per hour. Consultant will notify Client when the retainer balance falls below $[Threshold], at which point Client will replenish the retainer to its original amount within [10] days. Any unused retainer balance will be refunded to Client upon completion or termination of the Services.</w:t>
      </w:r>
    </w:p>
    <w:p w14:paraId="0FFB856D" w14:textId="77777777" w:rsidR="004E08C5" w:rsidRDefault="00000000">
      <w:pPr>
        <w:spacing w:before="240" w:after="100"/>
      </w:pPr>
      <w:r>
        <w:rPr>
          <w:b/>
          <w:bCs/>
          <w:sz w:val="22"/>
          <w:szCs w:val="22"/>
        </w:rPr>
        <w:t>4. Invoicing, Expenses, and Late Payment</w:t>
      </w:r>
    </w:p>
    <w:p w14:paraId="3F3A5FEB" w14:textId="77777777" w:rsidR="004E08C5" w:rsidRDefault="00000000">
      <w:pPr>
        <w:spacing w:after="120" w:line="276" w:lineRule="auto"/>
        <w:ind w:left="360"/>
        <w:jc w:val="both"/>
      </w:pPr>
      <w:r>
        <w:rPr>
          <w:sz w:val="21"/>
          <w:szCs w:val="21"/>
        </w:rPr>
        <w:t xml:space="preserve">(a) </w:t>
      </w:r>
      <w:r>
        <w:rPr>
          <w:b/>
          <w:bCs/>
          <w:sz w:val="21"/>
          <w:szCs w:val="21"/>
        </w:rPr>
        <w:t>Invoicing.</w:t>
      </w:r>
      <w:r>
        <w:rPr>
          <w:sz w:val="21"/>
          <w:szCs w:val="21"/>
        </w:rPr>
        <w:t xml:space="preserve"> Consultant will invoice Client [monthly], and Client will pay each invoice within [15] days of the invoice date.</w:t>
      </w:r>
    </w:p>
    <w:p w14:paraId="3D7E927D" w14:textId="77777777" w:rsidR="004E08C5" w:rsidRDefault="00000000">
      <w:pPr>
        <w:spacing w:after="120" w:line="276" w:lineRule="auto"/>
        <w:ind w:left="360"/>
        <w:jc w:val="both"/>
      </w:pPr>
      <w:r>
        <w:rPr>
          <w:sz w:val="21"/>
          <w:szCs w:val="21"/>
        </w:rPr>
        <w:t xml:space="preserve">(b) </w:t>
      </w:r>
      <w:r>
        <w:rPr>
          <w:b/>
          <w:bCs/>
          <w:sz w:val="21"/>
          <w:szCs w:val="21"/>
        </w:rPr>
        <w:t>Expenses.</w:t>
      </w:r>
      <w:r>
        <w:rPr>
          <w:sz w:val="21"/>
          <w:szCs w:val="21"/>
        </w:rPr>
        <w:t xml:space="preserve"> Client is responsible for all USPTO fees, prior-art search vendor fees, translation costs, and other third-party costs incurred in connection with the Services, which are separate from and in addition to Consultant's fees under Section 3. Consultant will obtain Client's prior approval before incurring any single third-party expense over $[Amount].</w:t>
      </w:r>
    </w:p>
    <w:p w14:paraId="3BC69044" w14:textId="77777777" w:rsidR="004E08C5" w:rsidRDefault="00000000">
      <w:pPr>
        <w:spacing w:after="120" w:line="276" w:lineRule="auto"/>
        <w:ind w:left="360"/>
        <w:jc w:val="both"/>
      </w:pPr>
      <w:r>
        <w:rPr>
          <w:sz w:val="21"/>
          <w:szCs w:val="21"/>
        </w:rPr>
        <w:t xml:space="preserve">(c) </w:t>
      </w:r>
      <w:r>
        <w:rPr>
          <w:b/>
          <w:bCs/>
          <w:sz w:val="21"/>
          <w:szCs w:val="21"/>
        </w:rPr>
        <w:t>Late Payment.</w:t>
      </w:r>
      <w:r>
        <w:rPr>
          <w:sz w:val="21"/>
          <w:szCs w:val="21"/>
        </w:rPr>
        <w:t xml:space="preserve"> Any invoice not paid when due will accrue interest at the rate of [</w:t>
      </w:r>
      <w:proofErr w:type="gramStart"/>
      <w:r>
        <w:rPr>
          <w:sz w:val="21"/>
          <w:szCs w:val="21"/>
        </w:rPr>
        <w:t>1.5]%</w:t>
      </w:r>
      <w:proofErr w:type="gramEnd"/>
      <w:r>
        <w:rPr>
          <w:sz w:val="21"/>
          <w:szCs w:val="21"/>
        </w:rPr>
        <w:t xml:space="preserve"> per month, or the maximum rate permitted by law, whichever is lower. Consultant may suspend work, including pausing action on pending USPTO deadlines other than those necessary to avoid abandonment, if an invoice remains unpaid more than [30] days after its due date and after written notice to Client.</w:t>
      </w:r>
    </w:p>
    <w:p w14:paraId="4B9945C9" w14:textId="77777777" w:rsidR="004E08C5" w:rsidRDefault="00000000">
      <w:pPr>
        <w:spacing w:before="240" w:after="100"/>
      </w:pPr>
      <w:r>
        <w:rPr>
          <w:b/>
          <w:bCs/>
          <w:sz w:val="22"/>
          <w:szCs w:val="22"/>
        </w:rPr>
        <w:t>5. Independent Contractor Relationship</w:t>
      </w:r>
    </w:p>
    <w:p w14:paraId="52171BFE" w14:textId="77777777" w:rsidR="004E08C5" w:rsidRDefault="00000000">
      <w:pPr>
        <w:spacing w:after="160" w:line="276" w:lineRule="auto"/>
        <w:jc w:val="both"/>
      </w:pPr>
      <w:r>
        <w:rPr>
          <w:sz w:val="21"/>
          <w:szCs w:val="21"/>
        </w:rPr>
        <w:t>Consultant is an independent contractor, not an employee, partner, or agent of Client (except to the extent Consultant is appointed as Client's registered patent agent/attorney of record before the USPTO for the limited purpose of the Services). Nothing in this Agreement creates a partnership, joint venture, or employment relationship between the Parties. Consultant is solely responsible for its own taxes, insurance, and benefits.</w:t>
      </w:r>
    </w:p>
    <w:p w14:paraId="5B99AF4C" w14:textId="77777777" w:rsidR="004E08C5" w:rsidRDefault="00000000">
      <w:pPr>
        <w:spacing w:before="240" w:after="100"/>
      </w:pPr>
      <w:r>
        <w:rPr>
          <w:b/>
          <w:bCs/>
          <w:sz w:val="22"/>
          <w:szCs w:val="22"/>
        </w:rPr>
        <w:t>6. Client Responsibilities</w:t>
      </w:r>
    </w:p>
    <w:p w14:paraId="31E6D026" w14:textId="77777777" w:rsidR="004E08C5" w:rsidRDefault="00000000">
      <w:pPr>
        <w:spacing w:after="160" w:line="276" w:lineRule="auto"/>
        <w:jc w:val="both"/>
      </w:pPr>
      <w:r>
        <w:rPr>
          <w:sz w:val="21"/>
          <w:szCs w:val="21"/>
        </w:rPr>
        <w:t>Client agrees to:</w:t>
      </w:r>
    </w:p>
    <w:p w14:paraId="7ECC1DF7" w14:textId="77777777" w:rsidR="004E08C5" w:rsidRDefault="00000000">
      <w:pPr>
        <w:spacing w:after="120" w:line="276" w:lineRule="auto"/>
        <w:ind w:left="360"/>
        <w:jc w:val="both"/>
      </w:pPr>
      <w:r>
        <w:rPr>
          <w:sz w:val="21"/>
          <w:szCs w:val="21"/>
        </w:rPr>
        <w:t>(a) provide complete, accurate, and timely information regarding the Invention and any related prior art, including all information known to Client that may be material to patentability, consistent with the duty of candor and good faith owed to the USPTO under 37 C.F.R. § 1.56;</w:t>
      </w:r>
    </w:p>
    <w:p w14:paraId="77A6769A" w14:textId="77777777" w:rsidR="004E08C5" w:rsidRDefault="00000000">
      <w:pPr>
        <w:spacing w:after="120" w:line="276" w:lineRule="auto"/>
        <w:ind w:left="360"/>
        <w:jc w:val="both"/>
      </w:pPr>
      <w:r>
        <w:rPr>
          <w:sz w:val="21"/>
          <w:szCs w:val="21"/>
        </w:rPr>
        <w:t>(b) respond promptly to Consultant's requests for information, review, or approval, particularly where a USPTO deadline is involved;</w:t>
      </w:r>
    </w:p>
    <w:p w14:paraId="4820E51C" w14:textId="77777777" w:rsidR="004E08C5" w:rsidRDefault="00000000">
      <w:pPr>
        <w:spacing w:after="120" w:line="276" w:lineRule="auto"/>
        <w:ind w:left="360"/>
        <w:jc w:val="both"/>
      </w:pPr>
      <w:r>
        <w:rPr>
          <w:sz w:val="21"/>
          <w:szCs w:val="21"/>
        </w:rPr>
        <w:lastRenderedPageBreak/>
        <w:t xml:space="preserve">(c) review draft applications, responses, and other filings provided by </w:t>
      </w:r>
      <w:proofErr w:type="gramStart"/>
      <w:r>
        <w:rPr>
          <w:sz w:val="21"/>
          <w:szCs w:val="21"/>
        </w:rPr>
        <w:t>Consultant</w:t>
      </w:r>
      <w:proofErr w:type="gramEnd"/>
      <w:r>
        <w:rPr>
          <w:sz w:val="21"/>
          <w:szCs w:val="21"/>
        </w:rPr>
        <w:t xml:space="preserve"> and provide timely feedback and authorization before filing; and</w:t>
      </w:r>
    </w:p>
    <w:p w14:paraId="3102440E" w14:textId="77777777" w:rsidR="004E08C5" w:rsidRDefault="00000000">
      <w:pPr>
        <w:spacing w:after="120" w:line="276" w:lineRule="auto"/>
        <w:ind w:left="360"/>
        <w:jc w:val="both"/>
      </w:pPr>
      <w:r>
        <w:rPr>
          <w:sz w:val="21"/>
          <w:szCs w:val="21"/>
        </w:rPr>
        <w:t>(d) promptly notify Consultant of any change in Client's contact information or, where applicable, inventorship or ownership of the Invention.</w:t>
      </w:r>
    </w:p>
    <w:p w14:paraId="3EF9A19B" w14:textId="77777777" w:rsidR="004E08C5" w:rsidRDefault="00000000">
      <w:pPr>
        <w:spacing w:after="160" w:line="276" w:lineRule="auto"/>
        <w:jc w:val="both"/>
      </w:pPr>
      <w:r>
        <w:rPr>
          <w:sz w:val="21"/>
          <w:szCs w:val="21"/>
        </w:rPr>
        <w:t>Client acknowledges that delays in providing information or approvals, or the omission of material information, may adversely affect the Services, including the ability to meet USPTO deadlines or to obtain valid, enforceable patent rights.</w:t>
      </w:r>
    </w:p>
    <w:p w14:paraId="09B98CF5" w14:textId="77777777" w:rsidR="004E08C5" w:rsidRDefault="00000000">
      <w:pPr>
        <w:spacing w:before="240" w:after="100"/>
      </w:pPr>
      <w:r>
        <w:rPr>
          <w:b/>
          <w:bCs/>
          <w:sz w:val="22"/>
          <w:szCs w:val="22"/>
        </w:rPr>
        <w:t>7. Ownership of Work Product and Intellectual Property</w:t>
      </w:r>
    </w:p>
    <w:p w14:paraId="2E6137B8" w14:textId="77777777" w:rsidR="004E08C5" w:rsidRDefault="00000000">
      <w:pPr>
        <w:spacing w:after="120" w:line="276" w:lineRule="auto"/>
        <w:ind w:left="360"/>
        <w:jc w:val="both"/>
      </w:pPr>
      <w:r>
        <w:rPr>
          <w:sz w:val="21"/>
          <w:szCs w:val="21"/>
        </w:rPr>
        <w:t xml:space="preserve">(a) </w:t>
      </w:r>
      <w:r>
        <w:rPr>
          <w:b/>
          <w:bCs/>
          <w:sz w:val="21"/>
          <w:szCs w:val="21"/>
        </w:rPr>
        <w:t>Client's Work Product.</w:t>
      </w:r>
      <w:r>
        <w:rPr>
          <w:sz w:val="21"/>
          <w:szCs w:val="21"/>
        </w:rPr>
        <w:t xml:space="preserve"> Subject to full payment of all fees due, all patent applications, drafts, correspondence with the USPTO, and other work product prepared specifically for Client under this Agreement become the property of Client upon delivery. Client owns all right, title, and interest in and to the underlying Invention; nothing in this Agreement transfers any ownership interest in the Invention to Consultant.</w:t>
      </w:r>
    </w:p>
    <w:p w14:paraId="62A367D5" w14:textId="77777777" w:rsidR="004E08C5" w:rsidRDefault="00000000">
      <w:pPr>
        <w:spacing w:after="120" w:line="276" w:lineRule="auto"/>
        <w:ind w:left="360"/>
        <w:jc w:val="both"/>
      </w:pPr>
      <w:r>
        <w:rPr>
          <w:sz w:val="21"/>
          <w:szCs w:val="21"/>
        </w:rPr>
        <w:t xml:space="preserve">(b) </w:t>
      </w:r>
      <w:r>
        <w:rPr>
          <w:b/>
          <w:bCs/>
          <w:sz w:val="21"/>
          <w:szCs w:val="21"/>
        </w:rPr>
        <w:t>Consultant's Pre-Existing Materials.</w:t>
      </w:r>
      <w:r>
        <w:rPr>
          <w:sz w:val="21"/>
          <w:szCs w:val="21"/>
        </w:rPr>
        <w:t xml:space="preserve"> Consultant retains all right, title, and interest in and to its pre-existing forms, templates, know-how, methodologies, and general skills and experience (“</w:t>
      </w:r>
      <w:r>
        <w:rPr>
          <w:b/>
          <w:bCs/>
          <w:sz w:val="21"/>
          <w:szCs w:val="21"/>
        </w:rPr>
        <w:t>Consultant Materials</w:t>
      </w:r>
      <w:r>
        <w:rPr>
          <w:sz w:val="21"/>
          <w:szCs w:val="21"/>
        </w:rPr>
        <w:t>”). To the extent any Consultant Materials are incorporated into work product delivered to Client, Consultant grants Client a non-exclusive, perpetual license to use such Consultant Materials solely as incorporated into that work product.</w:t>
      </w:r>
    </w:p>
    <w:p w14:paraId="31D335FD" w14:textId="77777777" w:rsidR="004E08C5" w:rsidRDefault="00000000">
      <w:pPr>
        <w:spacing w:before="240" w:after="100"/>
      </w:pPr>
      <w:r>
        <w:rPr>
          <w:b/>
          <w:bCs/>
          <w:sz w:val="22"/>
          <w:szCs w:val="22"/>
        </w:rPr>
        <w:t>8. Confidentiality</w:t>
      </w:r>
    </w:p>
    <w:p w14:paraId="0ECAFC10" w14:textId="77777777" w:rsidR="004E08C5" w:rsidRDefault="00000000">
      <w:pPr>
        <w:spacing w:after="160" w:line="276" w:lineRule="auto"/>
        <w:jc w:val="both"/>
      </w:pPr>
      <w:r>
        <w:rPr>
          <w:sz w:val="21"/>
          <w:szCs w:val="21"/>
        </w:rPr>
        <w:t>Each Party may receive confidential or proprietary information of the other Party in connection with the Services. Each Party agrees to protect the other Party's confidential information using reasonable care and to use it solely for purposes of this Agreement, consistent with the terms of any separate non-disclosure agreement the Parties may have signed. For clarity, this Section does not limit Consultant's independent professional and ethical duties of confidentiality to Client under 37 C.F.R. § 11.106 and applicable state rules of professional conduct, which duties survive independently of this Agreement and any separate non-disclosure agreement.</w:t>
      </w:r>
    </w:p>
    <w:p w14:paraId="1C349A6D" w14:textId="77777777" w:rsidR="004E08C5" w:rsidRDefault="00000000">
      <w:pPr>
        <w:spacing w:before="240" w:after="100"/>
      </w:pPr>
      <w:r>
        <w:rPr>
          <w:b/>
          <w:bCs/>
          <w:sz w:val="22"/>
          <w:szCs w:val="22"/>
        </w:rPr>
        <w:t>9. No Guarantee of Outcome</w:t>
      </w:r>
    </w:p>
    <w:p w14:paraId="29150C4F" w14:textId="77777777" w:rsidR="004E08C5" w:rsidRDefault="00000000">
      <w:pPr>
        <w:spacing w:after="160" w:line="276" w:lineRule="auto"/>
        <w:jc w:val="both"/>
      </w:pPr>
      <w:r>
        <w:rPr>
          <w:sz w:val="21"/>
          <w:szCs w:val="21"/>
        </w:rPr>
        <w:t>Client acknowledges that Consultant will perform the Services using the degree of skill and care ordinarily exercised by patent practitioners under similar circumstances, but that Consultant cannot and does not guarantee any particular outcome, including without limitation that: (a) any prior-art search will identify all references that may be material to patentability; (b) any patent application will be allowed or will issue as a patent; (c) any issued patent will be valid, enforceable, or of any particular scope; or (d) any business, commercial, or licensing result will follow from the Services.</w:t>
      </w:r>
    </w:p>
    <w:p w14:paraId="2785FBD5" w14:textId="77777777" w:rsidR="004E08C5" w:rsidRDefault="00000000">
      <w:pPr>
        <w:spacing w:before="240" w:after="100"/>
      </w:pPr>
      <w:r>
        <w:rPr>
          <w:b/>
          <w:bCs/>
          <w:sz w:val="22"/>
          <w:szCs w:val="22"/>
        </w:rPr>
        <w:t>10. Limitation of Liability</w:t>
      </w:r>
    </w:p>
    <w:p w14:paraId="5A1AD8A5" w14:textId="77777777" w:rsidR="004E08C5" w:rsidRDefault="00000000">
      <w:pPr>
        <w:spacing w:after="160" w:line="276" w:lineRule="auto"/>
        <w:jc w:val="both"/>
      </w:pPr>
      <w:r>
        <w:rPr>
          <w:sz w:val="21"/>
          <w:szCs w:val="21"/>
        </w:rPr>
        <w:t xml:space="preserve">EXCEPT FOR CLAIMS ARISING FROM CONSULTANT'S PROFESSIONAL MALPRACTICE, GROSS NEGLIGENCE, OR WILLFUL MISCONDUCT, NEITHER PARTY WILL BE LIABLE TO THE OTHER FOR ANY INDIRECT, INCIDENTAL, CONSEQUENTIAL, SPECIAL, OR PUNITIVE DAMAGES ARISING OUT OF OR RELATING TO THIS AGREEMENT, EVEN IF ADVISED OF THE POSSIBILITY OF SUCH DAMAGES. NOTHING IN THIS AGREEMENT IS INTENDED TO, AND NOTHING IN THIS AGREEMENT SHALL, PROSPECTIVELY LIMIT CONSULTANT'S LIABILITY FOR PROFESSIONAL MALPRACTICE OR BREACH OF FIDUCIARY DUTY TO ANY EXTENT THAT WOULD BE IMPERMISSIBLE UNDER 37 C.F.R. § 11.108(h) OR APPLICABLE STATE RULES OF PROFESSIONAL </w:t>
      </w:r>
      <w:r>
        <w:rPr>
          <w:sz w:val="21"/>
          <w:szCs w:val="21"/>
        </w:rPr>
        <w:lastRenderedPageBreak/>
        <w:t>CONDUCT ABSENT CLIENT BEING INDEPENDENTLY REPRESENTED IN MAKING THIS AGREEMENT.</w:t>
      </w:r>
    </w:p>
    <w:p w14:paraId="52F6099B" w14:textId="77777777" w:rsidR="004E08C5" w:rsidRDefault="00000000">
      <w:pPr>
        <w:spacing w:before="240" w:after="100"/>
      </w:pPr>
      <w:r>
        <w:rPr>
          <w:b/>
          <w:bCs/>
          <w:sz w:val="22"/>
          <w:szCs w:val="22"/>
        </w:rPr>
        <w:t>11. Indemnification</w:t>
      </w:r>
    </w:p>
    <w:p w14:paraId="43DB6D14" w14:textId="77777777" w:rsidR="004E08C5" w:rsidRDefault="00000000">
      <w:pPr>
        <w:spacing w:after="160" w:line="276" w:lineRule="auto"/>
        <w:jc w:val="both"/>
      </w:pPr>
      <w:r>
        <w:rPr>
          <w:sz w:val="21"/>
          <w:szCs w:val="21"/>
        </w:rPr>
        <w:t xml:space="preserve">Client will indemnify and hold Consultant harmless from any third-party claims, losses, or expenses (including reasonable attorneys' fees) arising from: (a) any materially false or misleading information Client knowingly provided to </w:t>
      </w:r>
      <w:proofErr w:type="gramStart"/>
      <w:r>
        <w:rPr>
          <w:sz w:val="21"/>
          <w:szCs w:val="21"/>
        </w:rPr>
        <w:t>Consultant</w:t>
      </w:r>
      <w:proofErr w:type="gramEnd"/>
      <w:r>
        <w:rPr>
          <w:sz w:val="21"/>
          <w:szCs w:val="21"/>
        </w:rPr>
        <w:t xml:space="preserve"> or to the USPTO in connection with the Services; or (b) Client's use of any work product for a purpose other than that for which it was prepared. This Section does not apply to claims arising from Consultant's own professional malpractice, gross negligence, or willful misconduct.</w:t>
      </w:r>
    </w:p>
    <w:p w14:paraId="53F47613" w14:textId="77777777" w:rsidR="004E08C5" w:rsidRDefault="00000000">
      <w:pPr>
        <w:spacing w:before="240" w:after="100"/>
      </w:pPr>
      <w:r>
        <w:rPr>
          <w:b/>
          <w:bCs/>
          <w:sz w:val="22"/>
          <w:szCs w:val="22"/>
        </w:rPr>
        <w:t>12. Conflicts of Interest</w:t>
      </w:r>
    </w:p>
    <w:p w14:paraId="6462A0A0" w14:textId="77777777" w:rsidR="004E08C5" w:rsidRDefault="00000000">
      <w:pPr>
        <w:spacing w:after="160" w:line="276" w:lineRule="auto"/>
        <w:jc w:val="both"/>
      </w:pPr>
      <w:r>
        <w:rPr>
          <w:sz w:val="21"/>
          <w:szCs w:val="21"/>
        </w:rPr>
        <w:t>Consultant will disclose to Client any actual conflict of interest of which Consultant becomes aware that would affect Consultant's ability to represent Client's interests in the Services. Client acknowledges that Consultant may provide similar services to other clients in the same general field of technology, provided doing so does not create a conflict prohibited by applicable rules of professional conduct.</w:t>
      </w:r>
    </w:p>
    <w:p w14:paraId="36B8FF47" w14:textId="77777777" w:rsidR="004E08C5" w:rsidRDefault="00000000">
      <w:pPr>
        <w:spacing w:before="240" w:after="100"/>
      </w:pPr>
      <w:r>
        <w:rPr>
          <w:b/>
          <w:bCs/>
          <w:sz w:val="22"/>
          <w:szCs w:val="22"/>
        </w:rPr>
        <w:t>13. Governing Law; Venue; Dispute Resolution</w:t>
      </w:r>
    </w:p>
    <w:p w14:paraId="722628DF" w14:textId="77777777" w:rsidR="004E08C5" w:rsidRDefault="00000000">
      <w:pPr>
        <w:spacing w:after="160" w:line="276" w:lineRule="auto"/>
        <w:jc w:val="both"/>
      </w:pPr>
      <w:r>
        <w:rPr>
          <w:sz w:val="21"/>
          <w:szCs w:val="21"/>
        </w:rPr>
        <w:t xml:space="preserve">This Agreement will be governed by and construed in accordance with the laws of the </w:t>
      </w:r>
      <w:r>
        <w:rPr>
          <w:b/>
          <w:bCs/>
          <w:sz w:val="21"/>
          <w:szCs w:val="21"/>
        </w:rPr>
        <w:t>State of Florida</w:t>
      </w:r>
      <w:r>
        <w:rPr>
          <w:sz w:val="21"/>
          <w:szCs w:val="21"/>
        </w:rPr>
        <w:t xml:space="preserve">, without regard to its conflict-of-laws principles. Before initiating any litigation, the Parties will attempt in good faith to resolve any dispute arising out of or relating to this Agreement through negotiation between authorized representatives for at least [15] days. Any dispute not resolved through such negotiation will be brought exclusively in the state courts located in </w:t>
      </w:r>
      <w:r>
        <w:rPr>
          <w:b/>
          <w:bCs/>
          <w:sz w:val="21"/>
          <w:szCs w:val="21"/>
        </w:rPr>
        <w:t>Volusia County, Florida</w:t>
      </w:r>
      <w:r>
        <w:rPr>
          <w:sz w:val="21"/>
          <w:szCs w:val="21"/>
        </w:rPr>
        <w:t xml:space="preserve">, or the </w:t>
      </w:r>
      <w:r>
        <w:rPr>
          <w:b/>
          <w:bCs/>
          <w:sz w:val="21"/>
          <w:szCs w:val="21"/>
        </w:rPr>
        <w:t>United States District Court for the Middle District of Florida</w:t>
      </w:r>
      <w:r>
        <w:rPr>
          <w:sz w:val="21"/>
          <w:szCs w:val="21"/>
        </w:rPr>
        <w:t>.</w:t>
      </w:r>
    </w:p>
    <w:p w14:paraId="3CFAEA4C" w14:textId="77777777" w:rsidR="004E08C5" w:rsidRDefault="00000000">
      <w:pPr>
        <w:spacing w:before="240" w:after="100"/>
      </w:pPr>
      <w:r>
        <w:rPr>
          <w:b/>
          <w:bCs/>
          <w:sz w:val="22"/>
          <w:szCs w:val="22"/>
        </w:rPr>
        <w:t>14. Insurance</w:t>
      </w:r>
    </w:p>
    <w:p w14:paraId="00FB460C" w14:textId="77777777" w:rsidR="004E08C5" w:rsidRDefault="00000000">
      <w:pPr>
        <w:spacing w:after="160" w:line="276" w:lineRule="auto"/>
        <w:jc w:val="both"/>
      </w:pPr>
      <w:r>
        <w:rPr>
          <w:sz w:val="21"/>
          <w:szCs w:val="21"/>
        </w:rPr>
        <w:t>Consultant will maintain professional liability (errors and omissions) insurance in commercially reasonable amounts during the term of this Agreement and will provide evidence of such coverage to Client upon reasonable request.</w:t>
      </w:r>
    </w:p>
    <w:p w14:paraId="42BAE512" w14:textId="77777777" w:rsidR="004E08C5" w:rsidRDefault="00000000">
      <w:pPr>
        <w:spacing w:before="240" w:after="100"/>
      </w:pPr>
      <w:r>
        <w:rPr>
          <w:b/>
          <w:bCs/>
          <w:sz w:val="22"/>
          <w:szCs w:val="22"/>
        </w:rPr>
        <w:t>15. Miscellaneous</w:t>
      </w:r>
    </w:p>
    <w:p w14:paraId="16F2AB8D" w14:textId="77777777" w:rsidR="004E08C5" w:rsidRDefault="00000000">
      <w:pPr>
        <w:spacing w:after="120" w:line="276" w:lineRule="auto"/>
        <w:ind w:left="360"/>
        <w:jc w:val="both"/>
      </w:pPr>
      <w:r>
        <w:rPr>
          <w:sz w:val="21"/>
          <w:szCs w:val="21"/>
        </w:rPr>
        <w:t xml:space="preserve">(a) </w:t>
      </w:r>
      <w:r>
        <w:rPr>
          <w:b/>
          <w:bCs/>
          <w:sz w:val="21"/>
          <w:szCs w:val="21"/>
        </w:rPr>
        <w:t>Entire Agreement.</w:t>
      </w:r>
      <w:r>
        <w:rPr>
          <w:sz w:val="21"/>
          <w:szCs w:val="21"/>
        </w:rPr>
        <w:t xml:space="preserve"> This Agreement, including Exhibit A and any other attached exhibits, constitutes the entire understanding between the Parties regarding its subject matter and supersedes all prior or contemporaneous agreements, oral or written, on that subject, except for any separate non-disclosure agreement between the Parties, which remains in full force and effect.</w:t>
      </w:r>
    </w:p>
    <w:p w14:paraId="76ABEE27" w14:textId="77777777" w:rsidR="004E08C5" w:rsidRDefault="00000000">
      <w:pPr>
        <w:spacing w:after="120" w:line="276" w:lineRule="auto"/>
        <w:ind w:left="360"/>
        <w:jc w:val="both"/>
      </w:pPr>
      <w:r>
        <w:rPr>
          <w:sz w:val="21"/>
          <w:szCs w:val="21"/>
        </w:rPr>
        <w:t xml:space="preserve">(b) </w:t>
      </w:r>
      <w:r>
        <w:rPr>
          <w:b/>
          <w:bCs/>
          <w:sz w:val="21"/>
          <w:szCs w:val="21"/>
        </w:rPr>
        <w:t>Amendment.</w:t>
      </w:r>
      <w:r>
        <w:rPr>
          <w:sz w:val="21"/>
          <w:szCs w:val="21"/>
        </w:rPr>
        <w:t xml:space="preserve"> This Agreement may be amended only by a written instrument signed by both Parties.</w:t>
      </w:r>
    </w:p>
    <w:p w14:paraId="3CDC3545" w14:textId="77777777" w:rsidR="004E08C5" w:rsidRDefault="00000000">
      <w:pPr>
        <w:spacing w:after="120" w:line="276" w:lineRule="auto"/>
        <w:ind w:left="360"/>
        <w:jc w:val="both"/>
      </w:pPr>
      <w:r>
        <w:rPr>
          <w:sz w:val="21"/>
          <w:szCs w:val="21"/>
        </w:rPr>
        <w:t xml:space="preserve">(c) </w:t>
      </w:r>
      <w:r>
        <w:rPr>
          <w:b/>
          <w:bCs/>
          <w:sz w:val="21"/>
          <w:szCs w:val="21"/>
        </w:rPr>
        <w:t>Severability.</w:t>
      </w:r>
      <w:r>
        <w:rPr>
          <w:sz w:val="21"/>
          <w:szCs w:val="21"/>
        </w:rPr>
        <w:t xml:space="preserve"> If any provision of this Agreement is held unenforceable, the remaining provisions will remain in full force and effect, and the unenforceable provision will be modified to the minimum extent necessary to make it enforceable.</w:t>
      </w:r>
    </w:p>
    <w:p w14:paraId="66F46F81" w14:textId="77777777" w:rsidR="004E08C5" w:rsidRDefault="00000000">
      <w:pPr>
        <w:spacing w:after="120" w:line="276" w:lineRule="auto"/>
        <w:ind w:left="360"/>
        <w:jc w:val="both"/>
      </w:pPr>
      <w:r>
        <w:rPr>
          <w:sz w:val="21"/>
          <w:szCs w:val="21"/>
        </w:rPr>
        <w:t xml:space="preserve">(d) </w:t>
      </w:r>
      <w:r>
        <w:rPr>
          <w:b/>
          <w:bCs/>
          <w:sz w:val="21"/>
          <w:szCs w:val="21"/>
        </w:rPr>
        <w:t>No Waiver.</w:t>
      </w:r>
      <w:r>
        <w:rPr>
          <w:sz w:val="21"/>
          <w:szCs w:val="21"/>
        </w:rPr>
        <w:t xml:space="preserve"> Failure to enforce any provision of this Agreement will not constitute a waiver of that or any other provision.</w:t>
      </w:r>
    </w:p>
    <w:p w14:paraId="4A66A717" w14:textId="77777777" w:rsidR="004E08C5" w:rsidRDefault="00000000">
      <w:pPr>
        <w:spacing w:after="120" w:line="276" w:lineRule="auto"/>
        <w:ind w:left="360"/>
        <w:jc w:val="both"/>
      </w:pPr>
      <w:r>
        <w:rPr>
          <w:sz w:val="21"/>
          <w:szCs w:val="21"/>
        </w:rPr>
        <w:t xml:space="preserve">(e) </w:t>
      </w:r>
      <w:r>
        <w:rPr>
          <w:b/>
          <w:bCs/>
          <w:sz w:val="21"/>
          <w:szCs w:val="21"/>
        </w:rPr>
        <w:t>Assignment.</w:t>
      </w:r>
      <w:r>
        <w:rPr>
          <w:sz w:val="21"/>
          <w:szCs w:val="21"/>
        </w:rPr>
        <w:t xml:space="preserve"> Neither Party may assign this Agreement without the prior written consent of the other Party, except that Consultant may assign this Agreement to a successor firm in connection with a merger, acquisition, or change in firm structure, upon written notice to Client.</w:t>
      </w:r>
    </w:p>
    <w:p w14:paraId="5F250787" w14:textId="77777777" w:rsidR="004E08C5" w:rsidRDefault="00000000">
      <w:pPr>
        <w:spacing w:after="120" w:line="276" w:lineRule="auto"/>
        <w:ind w:left="360"/>
        <w:jc w:val="both"/>
      </w:pPr>
      <w:r>
        <w:rPr>
          <w:sz w:val="21"/>
          <w:szCs w:val="21"/>
        </w:rPr>
        <w:lastRenderedPageBreak/>
        <w:t xml:space="preserve">(f) </w:t>
      </w:r>
      <w:r>
        <w:rPr>
          <w:b/>
          <w:bCs/>
          <w:sz w:val="21"/>
          <w:szCs w:val="21"/>
        </w:rPr>
        <w:t>Force Majeure.</w:t>
      </w:r>
      <w:r>
        <w:rPr>
          <w:sz w:val="21"/>
          <w:szCs w:val="21"/>
        </w:rPr>
        <w:t xml:space="preserve"> Neither Party will be liable for any delay or failure to perform resulting from causes beyond its reasonable control, except that this Section does not excuse Client's payment obligations or extend any USPTO statutory deadline.</w:t>
      </w:r>
    </w:p>
    <w:p w14:paraId="2A9EAEA5" w14:textId="77777777" w:rsidR="004E08C5" w:rsidRDefault="00000000">
      <w:pPr>
        <w:spacing w:after="120" w:line="276" w:lineRule="auto"/>
        <w:ind w:left="360"/>
        <w:jc w:val="both"/>
      </w:pPr>
      <w:r>
        <w:rPr>
          <w:sz w:val="21"/>
          <w:szCs w:val="21"/>
        </w:rPr>
        <w:t xml:space="preserve">(g) </w:t>
      </w:r>
      <w:r>
        <w:rPr>
          <w:b/>
          <w:bCs/>
          <w:sz w:val="21"/>
          <w:szCs w:val="21"/>
        </w:rPr>
        <w:t>Counterparts; Electronic Signature.</w:t>
      </w:r>
      <w:r>
        <w:rPr>
          <w:sz w:val="21"/>
          <w:szCs w:val="21"/>
        </w:rPr>
        <w:t xml:space="preserve"> This Agreement may be executed in counterparts, including by electronic or digital signature, each of which is deemed an original.</w:t>
      </w:r>
    </w:p>
    <w:p w14:paraId="249EB94C" w14:textId="77777777" w:rsidR="004E08C5" w:rsidRDefault="00000000">
      <w:pPr>
        <w:spacing w:after="120" w:line="276" w:lineRule="auto"/>
        <w:ind w:left="360"/>
        <w:jc w:val="both"/>
      </w:pPr>
      <w:r>
        <w:rPr>
          <w:sz w:val="21"/>
          <w:szCs w:val="21"/>
        </w:rPr>
        <w:t xml:space="preserve">(h) </w:t>
      </w:r>
      <w:r>
        <w:rPr>
          <w:b/>
          <w:bCs/>
          <w:sz w:val="21"/>
          <w:szCs w:val="21"/>
        </w:rPr>
        <w:t>Notices.</w:t>
      </w:r>
      <w:r>
        <w:rPr>
          <w:sz w:val="21"/>
          <w:szCs w:val="21"/>
        </w:rPr>
        <w:t xml:space="preserve"> Any notice under this Agreement must be in writing and delivered to the address set forth above (or such other address as a Party designates in writing).</w:t>
      </w:r>
    </w:p>
    <w:p w14:paraId="78376BC7" w14:textId="77777777" w:rsidR="004E08C5" w:rsidRDefault="00000000">
      <w:pPr>
        <w:spacing w:before="200" w:after="300" w:line="276" w:lineRule="auto"/>
        <w:jc w:val="both"/>
      </w:pPr>
      <w:r>
        <w:rPr>
          <w:sz w:val="21"/>
          <w:szCs w:val="21"/>
        </w:rPr>
        <w:t>IN WITNESS WHEREOF, the Parties have executed this Agreement as of the Effective Date.</w:t>
      </w:r>
    </w:p>
    <w:p w14:paraId="012EA2F7" w14:textId="77777777" w:rsidR="004E08C5" w:rsidRDefault="00000000">
      <w:pPr>
        <w:keepNext/>
        <w:keepLines/>
        <w:spacing w:after="400"/>
      </w:pPr>
      <w:r>
        <w:rPr>
          <w:b/>
          <w:bCs/>
          <w:sz w:val="21"/>
          <w:szCs w:val="21"/>
        </w:rPr>
        <w:t>CONSULTANT / PATENT AGENT:</w:t>
      </w:r>
    </w:p>
    <w:p w14:paraId="752E7FF8" w14:textId="77777777" w:rsidR="004E08C5" w:rsidRDefault="00000000">
      <w:pPr>
        <w:keepNext/>
        <w:keepLines/>
        <w:spacing w:after="60"/>
      </w:pPr>
      <w:r>
        <w:rPr>
          <w:sz w:val="21"/>
          <w:szCs w:val="21"/>
        </w:rPr>
        <w:t>Signature: ______________________________</w:t>
      </w:r>
    </w:p>
    <w:p w14:paraId="13F04DAD" w14:textId="77777777" w:rsidR="004E08C5" w:rsidRDefault="00000000">
      <w:pPr>
        <w:keepNext/>
        <w:keepLines/>
        <w:spacing w:after="60"/>
      </w:pPr>
      <w:r>
        <w:rPr>
          <w:sz w:val="21"/>
          <w:szCs w:val="21"/>
        </w:rPr>
        <w:t>Printed Name: [Patent Agent Name]</w:t>
      </w:r>
    </w:p>
    <w:p w14:paraId="04E0992D" w14:textId="77777777" w:rsidR="004E08C5" w:rsidRDefault="00000000">
      <w:pPr>
        <w:keepNext/>
        <w:keepLines/>
        <w:spacing w:after="60"/>
      </w:pPr>
      <w:r>
        <w:rPr>
          <w:sz w:val="21"/>
          <w:szCs w:val="21"/>
        </w:rPr>
        <w:t>USPTO Registration No.: [Registration Number]</w:t>
      </w:r>
    </w:p>
    <w:p w14:paraId="37611715" w14:textId="77777777" w:rsidR="004E08C5" w:rsidRDefault="00000000">
      <w:pPr>
        <w:keepNext/>
        <w:keepLines/>
        <w:spacing w:after="60"/>
      </w:pPr>
      <w:r>
        <w:rPr>
          <w:sz w:val="21"/>
          <w:szCs w:val="21"/>
        </w:rPr>
        <w:t>Firm: [Firm Name]</w:t>
      </w:r>
    </w:p>
    <w:p w14:paraId="22BF6243" w14:textId="77777777" w:rsidR="004E08C5" w:rsidRDefault="00000000">
      <w:pPr>
        <w:keepLines/>
        <w:spacing w:after="400"/>
      </w:pPr>
      <w:r>
        <w:rPr>
          <w:sz w:val="21"/>
          <w:szCs w:val="21"/>
        </w:rPr>
        <w:t>Date: ______________________</w:t>
      </w:r>
    </w:p>
    <w:p w14:paraId="232971D1" w14:textId="77777777" w:rsidR="004E08C5" w:rsidRDefault="00000000">
      <w:pPr>
        <w:keepNext/>
        <w:keepLines/>
        <w:spacing w:after="400"/>
      </w:pPr>
      <w:r>
        <w:rPr>
          <w:b/>
          <w:bCs/>
          <w:sz w:val="21"/>
          <w:szCs w:val="21"/>
        </w:rPr>
        <w:t>CLIENT:</w:t>
      </w:r>
    </w:p>
    <w:p w14:paraId="080031BA" w14:textId="77777777" w:rsidR="004E08C5" w:rsidRDefault="00000000">
      <w:pPr>
        <w:keepNext/>
        <w:keepLines/>
        <w:spacing w:after="60"/>
      </w:pPr>
      <w:r>
        <w:rPr>
          <w:sz w:val="21"/>
          <w:szCs w:val="21"/>
        </w:rPr>
        <w:t>Signature: ______________________________</w:t>
      </w:r>
    </w:p>
    <w:p w14:paraId="0A805509" w14:textId="77777777" w:rsidR="004E08C5" w:rsidRDefault="00000000">
      <w:pPr>
        <w:keepNext/>
        <w:keepLines/>
        <w:spacing w:after="60"/>
      </w:pPr>
      <w:r>
        <w:rPr>
          <w:sz w:val="21"/>
          <w:szCs w:val="21"/>
        </w:rPr>
        <w:t>Printed Name: [Client Name]</w:t>
      </w:r>
    </w:p>
    <w:p w14:paraId="784AF10A" w14:textId="77777777" w:rsidR="004E08C5" w:rsidRDefault="00000000">
      <w:pPr>
        <w:keepNext/>
        <w:keepLines/>
        <w:spacing w:after="60"/>
      </w:pPr>
      <w:r>
        <w:rPr>
          <w:sz w:val="21"/>
          <w:szCs w:val="21"/>
        </w:rPr>
        <w:t>Title (if applicable): [Title]</w:t>
      </w:r>
    </w:p>
    <w:p w14:paraId="6E0E045E" w14:textId="77777777" w:rsidR="004E08C5" w:rsidRDefault="00000000">
      <w:pPr>
        <w:keepLines/>
        <w:spacing w:after="400"/>
      </w:pPr>
      <w:r>
        <w:rPr>
          <w:sz w:val="21"/>
          <w:szCs w:val="21"/>
        </w:rPr>
        <w:t>Date: ______________________</w:t>
      </w:r>
    </w:p>
    <w:p w14:paraId="2ACA6E08" w14:textId="77777777" w:rsidR="004E08C5" w:rsidRDefault="00000000">
      <w:r>
        <w:br w:type="page"/>
      </w:r>
    </w:p>
    <w:p w14:paraId="32EBE154" w14:textId="77777777" w:rsidR="004E08C5" w:rsidRDefault="00000000">
      <w:pPr>
        <w:spacing w:after="80"/>
        <w:jc w:val="center"/>
      </w:pPr>
      <w:r>
        <w:rPr>
          <w:b/>
          <w:bCs/>
          <w:sz w:val="26"/>
          <w:szCs w:val="26"/>
        </w:rPr>
        <w:lastRenderedPageBreak/>
        <w:t>EXHIBIT A</w:t>
      </w:r>
    </w:p>
    <w:p w14:paraId="1E3024BE" w14:textId="77777777" w:rsidR="004E08C5" w:rsidRDefault="00000000">
      <w:pPr>
        <w:spacing w:after="160"/>
        <w:jc w:val="center"/>
      </w:pPr>
      <w:r>
        <w:rPr>
          <w:b/>
          <w:bCs/>
          <w:sz w:val="26"/>
          <w:szCs w:val="26"/>
        </w:rPr>
        <w:t>STATEMENT OF WORK</w:t>
      </w:r>
    </w:p>
    <w:p w14:paraId="37FE3C9B" w14:textId="77777777" w:rsidR="004E08C5" w:rsidRDefault="00000000">
      <w:pPr>
        <w:spacing w:after="160" w:line="276" w:lineRule="auto"/>
        <w:jc w:val="both"/>
      </w:pPr>
      <w:r>
        <w:rPr>
          <w:sz w:val="21"/>
          <w:szCs w:val="21"/>
        </w:rPr>
        <w:t>This Statement of Work is entered into pursuant to, and incorporated into, the Patent Consulting Services Agreement between Consultant and Client dated [Date].</w:t>
      </w:r>
    </w:p>
    <w:tbl>
      <w:tblPr>
        <w:tblW w:w="93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2735"/>
        <w:gridCol w:w="6624"/>
      </w:tblGrid>
      <w:tr w:rsidR="004E08C5" w14:paraId="0E88338F" w14:textId="77777777">
        <w:tblPrEx>
          <w:tblCellMar>
            <w:top w:w="0" w:type="dxa"/>
            <w:bottom w:w="0" w:type="dxa"/>
          </w:tblCellMar>
        </w:tblPrEx>
        <w:tc>
          <w:tcPr>
            <w:tcW w:w="2735" w:type="dxa"/>
            <w:shd w:val="clear" w:color="auto" w:fill="E8E8E8"/>
            <w:tcMar>
              <w:top w:w="100" w:type="dxa"/>
              <w:left w:w="100" w:type="dxa"/>
              <w:bottom w:w="100" w:type="dxa"/>
              <w:right w:w="100" w:type="dxa"/>
            </w:tcMar>
          </w:tcPr>
          <w:p w14:paraId="2F67C6E6" w14:textId="77777777" w:rsidR="004E08C5" w:rsidRDefault="00000000">
            <w:r>
              <w:rPr>
                <w:b/>
                <w:bCs/>
              </w:rPr>
              <w:t>Item</w:t>
            </w:r>
          </w:p>
        </w:tc>
        <w:tc>
          <w:tcPr>
            <w:tcW w:w="6624" w:type="dxa"/>
            <w:shd w:val="clear" w:color="auto" w:fill="E8E8E8"/>
            <w:tcMar>
              <w:top w:w="100" w:type="dxa"/>
              <w:left w:w="100" w:type="dxa"/>
              <w:bottom w:w="100" w:type="dxa"/>
              <w:right w:w="100" w:type="dxa"/>
            </w:tcMar>
          </w:tcPr>
          <w:p w14:paraId="3B462F0F" w14:textId="77777777" w:rsidR="004E08C5" w:rsidRDefault="00000000">
            <w:r>
              <w:rPr>
                <w:b/>
                <w:bCs/>
              </w:rPr>
              <w:t>Description</w:t>
            </w:r>
          </w:p>
        </w:tc>
      </w:tr>
      <w:tr w:rsidR="004E08C5" w14:paraId="3A584CB7" w14:textId="77777777">
        <w:tblPrEx>
          <w:tblCellMar>
            <w:top w:w="0" w:type="dxa"/>
            <w:bottom w:w="0" w:type="dxa"/>
          </w:tblCellMar>
        </w:tblPrEx>
        <w:tc>
          <w:tcPr>
            <w:tcW w:w="2735" w:type="dxa"/>
            <w:tcMar>
              <w:top w:w="100" w:type="dxa"/>
              <w:left w:w="100" w:type="dxa"/>
              <w:bottom w:w="100" w:type="dxa"/>
              <w:right w:w="100" w:type="dxa"/>
            </w:tcMar>
          </w:tcPr>
          <w:p w14:paraId="1A2EB803" w14:textId="77777777" w:rsidR="004E08C5" w:rsidRDefault="00000000">
            <w:r>
              <w:t>Description of Invention / Matter</w:t>
            </w:r>
          </w:p>
        </w:tc>
        <w:tc>
          <w:tcPr>
            <w:tcW w:w="6624" w:type="dxa"/>
            <w:tcMar>
              <w:top w:w="100" w:type="dxa"/>
              <w:left w:w="100" w:type="dxa"/>
              <w:bottom w:w="100" w:type="dxa"/>
              <w:right w:w="100" w:type="dxa"/>
            </w:tcMar>
          </w:tcPr>
          <w:p w14:paraId="0D561460" w14:textId="77777777" w:rsidR="004E08C5" w:rsidRDefault="00000000">
            <w:r>
              <w:t>[Brief description]</w:t>
            </w:r>
          </w:p>
        </w:tc>
      </w:tr>
      <w:tr w:rsidR="004E08C5" w14:paraId="586A4A74" w14:textId="77777777">
        <w:tblPrEx>
          <w:tblCellMar>
            <w:top w:w="0" w:type="dxa"/>
            <w:bottom w:w="0" w:type="dxa"/>
          </w:tblCellMar>
        </w:tblPrEx>
        <w:tc>
          <w:tcPr>
            <w:tcW w:w="2735" w:type="dxa"/>
            <w:tcMar>
              <w:top w:w="100" w:type="dxa"/>
              <w:left w:w="100" w:type="dxa"/>
              <w:bottom w:w="100" w:type="dxa"/>
              <w:right w:w="100" w:type="dxa"/>
            </w:tcMar>
          </w:tcPr>
          <w:p w14:paraId="6883D7E7" w14:textId="77777777" w:rsidR="004E08C5" w:rsidRDefault="00000000">
            <w:r>
              <w:t>Scope of Services</w:t>
            </w:r>
          </w:p>
        </w:tc>
        <w:tc>
          <w:tcPr>
            <w:tcW w:w="6624" w:type="dxa"/>
            <w:tcMar>
              <w:top w:w="100" w:type="dxa"/>
              <w:left w:w="100" w:type="dxa"/>
              <w:bottom w:w="100" w:type="dxa"/>
              <w:right w:w="100" w:type="dxa"/>
            </w:tcMar>
          </w:tcPr>
          <w:p w14:paraId="24FEA770" w14:textId="77777777" w:rsidR="004E08C5" w:rsidRDefault="00000000">
            <w:r>
              <w:t>[e.g., patentability search; invention disclosure review; preparation and filing of a non-provisional utility application; prosecution through first Office Action, etc.]</w:t>
            </w:r>
          </w:p>
        </w:tc>
      </w:tr>
      <w:tr w:rsidR="004E08C5" w14:paraId="4FDE5EED" w14:textId="77777777">
        <w:tblPrEx>
          <w:tblCellMar>
            <w:top w:w="0" w:type="dxa"/>
            <w:bottom w:w="0" w:type="dxa"/>
          </w:tblCellMar>
        </w:tblPrEx>
        <w:tc>
          <w:tcPr>
            <w:tcW w:w="2735" w:type="dxa"/>
            <w:tcMar>
              <w:top w:w="100" w:type="dxa"/>
              <w:left w:w="100" w:type="dxa"/>
              <w:bottom w:w="100" w:type="dxa"/>
              <w:right w:w="100" w:type="dxa"/>
            </w:tcMar>
          </w:tcPr>
          <w:p w14:paraId="00B72B05" w14:textId="77777777" w:rsidR="004E08C5" w:rsidRDefault="00000000">
            <w:r>
              <w:t>Deliverables</w:t>
            </w:r>
          </w:p>
        </w:tc>
        <w:tc>
          <w:tcPr>
            <w:tcW w:w="6624" w:type="dxa"/>
            <w:tcMar>
              <w:top w:w="100" w:type="dxa"/>
              <w:left w:w="100" w:type="dxa"/>
              <w:bottom w:w="100" w:type="dxa"/>
              <w:right w:w="100" w:type="dxa"/>
            </w:tcMar>
          </w:tcPr>
          <w:p w14:paraId="0DFA215B" w14:textId="77777777" w:rsidR="004E08C5" w:rsidRDefault="00000000">
            <w:r>
              <w:t>[e.g., written search report; draft application; filing receipt]</w:t>
            </w:r>
          </w:p>
        </w:tc>
      </w:tr>
      <w:tr w:rsidR="004E08C5" w14:paraId="713C723F" w14:textId="77777777">
        <w:tblPrEx>
          <w:tblCellMar>
            <w:top w:w="0" w:type="dxa"/>
            <w:bottom w:w="0" w:type="dxa"/>
          </w:tblCellMar>
        </w:tblPrEx>
        <w:tc>
          <w:tcPr>
            <w:tcW w:w="2735" w:type="dxa"/>
            <w:tcMar>
              <w:top w:w="100" w:type="dxa"/>
              <w:left w:w="100" w:type="dxa"/>
              <w:bottom w:w="100" w:type="dxa"/>
              <w:right w:w="100" w:type="dxa"/>
            </w:tcMar>
          </w:tcPr>
          <w:p w14:paraId="20EC784A" w14:textId="77777777" w:rsidR="004E08C5" w:rsidRDefault="00000000">
            <w:r>
              <w:t>Estimated Timeline / Milestones</w:t>
            </w:r>
          </w:p>
        </w:tc>
        <w:tc>
          <w:tcPr>
            <w:tcW w:w="6624" w:type="dxa"/>
            <w:tcMar>
              <w:top w:w="100" w:type="dxa"/>
              <w:left w:w="100" w:type="dxa"/>
              <w:bottom w:w="100" w:type="dxa"/>
              <w:right w:w="100" w:type="dxa"/>
            </w:tcMar>
          </w:tcPr>
          <w:p w14:paraId="2ACF6402" w14:textId="77777777" w:rsidR="004E08C5" w:rsidRDefault="00000000">
            <w:r>
              <w:t>[Dates or phases]</w:t>
            </w:r>
          </w:p>
        </w:tc>
      </w:tr>
      <w:tr w:rsidR="004E08C5" w14:paraId="2F8C01CC" w14:textId="77777777">
        <w:tblPrEx>
          <w:tblCellMar>
            <w:top w:w="0" w:type="dxa"/>
            <w:bottom w:w="0" w:type="dxa"/>
          </w:tblCellMar>
        </w:tblPrEx>
        <w:tc>
          <w:tcPr>
            <w:tcW w:w="2735" w:type="dxa"/>
            <w:tcMar>
              <w:top w:w="100" w:type="dxa"/>
              <w:left w:w="100" w:type="dxa"/>
              <w:bottom w:w="100" w:type="dxa"/>
              <w:right w:w="100" w:type="dxa"/>
            </w:tcMar>
          </w:tcPr>
          <w:p w14:paraId="36F7CCB4" w14:textId="77777777" w:rsidR="004E08C5" w:rsidRDefault="00000000">
            <w:r>
              <w:t>Fee (see Section 3, Option selected)</w:t>
            </w:r>
          </w:p>
        </w:tc>
        <w:tc>
          <w:tcPr>
            <w:tcW w:w="6624" w:type="dxa"/>
            <w:tcMar>
              <w:top w:w="100" w:type="dxa"/>
              <w:left w:w="100" w:type="dxa"/>
              <w:bottom w:w="100" w:type="dxa"/>
              <w:right w:w="100" w:type="dxa"/>
            </w:tcMar>
          </w:tcPr>
          <w:p w14:paraId="5B74EBEE" w14:textId="77777777" w:rsidR="004E08C5" w:rsidRDefault="00000000">
            <w:r>
              <w:t>[Amount / rate]</w:t>
            </w:r>
          </w:p>
        </w:tc>
      </w:tr>
      <w:tr w:rsidR="004E08C5" w14:paraId="404756A1" w14:textId="77777777">
        <w:tblPrEx>
          <w:tblCellMar>
            <w:top w:w="0" w:type="dxa"/>
            <w:bottom w:w="0" w:type="dxa"/>
          </w:tblCellMar>
        </w:tblPrEx>
        <w:tc>
          <w:tcPr>
            <w:tcW w:w="2735" w:type="dxa"/>
            <w:tcMar>
              <w:top w:w="100" w:type="dxa"/>
              <w:left w:w="100" w:type="dxa"/>
              <w:bottom w:w="100" w:type="dxa"/>
              <w:right w:w="100" w:type="dxa"/>
            </w:tcMar>
          </w:tcPr>
          <w:p w14:paraId="292DBE03" w14:textId="77777777" w:rsidR="004E08C5" w:rsidRDefault="00000000">
            <w:r>
              <w:t>Special Instructions</w:t>
            </w:r>
          </w:p>
        </w:tc>
        <w:tc>
          <w:tcPr>
            <w:tcW w:w="6624" w:type="dxa"/>
            <w:tcMar>
              <w:top w:w="100" w:type="dxa"/>
              <w:left w:w="100" w:type="dxa"/>
              <w:bottom w:w="100" w:type="dxa"/>
              <w:right w:w="100" w:type="dxa"/>
            </w:tcMar>
          </w:tcPr>
          <w:p w14:paraId="5ADF36D4" w14:textId="77777777" w:rsidR="004E08C5" w:rsidRDefault="00000000">
            <w:r>
              <w:t>[Any client-specific instructions]</w:t>
            </w:r>
          </w:p>
        </w:tc>
      </w:tr>
    </w:tbl>
    <w:p w14:paraId="0BD342BF" w14:textId="77777777" w:rsidR="00693FAA" w:rsidRDefault="00693FAA"/>
    <w:sectPr w:rsidR="00693FAA">
      <w:footerReference w:type="default" r:id="rId7"/>
      <w:pgSz w:w="12240" w:h="15840"/>
      <w:pgMar w:top="1296" w:right="1440" w:bottom="1296" w:left="1440" w:header="708" w:footer="708"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4115BC5E" w14:textId="77777777" w:rsidR="00693FAA" w:rsidRDefault="00693FAA">
      <w:r>
        <w:separator/>
      </w:r>
    </w:p>
  </w:endnote>
  <w:endnote w:type="continuationSeparator" w:id="0">
    <w:p w14:paraId="5EF8B792" w14:textId="77777777" w:rsidR="00693FAA" w:rsidRDefault="00693FA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Aptos">
    <w:panose1 w:val="020B0004020202020204"/>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021F4C84" w14:textId="77777777" w:rsidR="004E08C5" w:rsidRDefault="00000000">
    <w:pPr>
      <w:jc w:val="center"/>
    </w:pPr>
    <w:r>
      <w:rPr>
        <w:color w:val="666666"/>
        <w:sz w:val="16"/>
        <w:szCs w:val="16"/>
      </w:rPr>
      <w:t xml:space="preserve">Page </w:t>
    </w:r>
    <w:r>
      <w:rPr>
        <w:color w:val="666666"/>
        <w:sz w:val="16"/>
        <w:szCs w:val="16"/>
      </w:rPr>
      <w:fldChar w:fldCharType="begin"/>
    </w:r>
    <w:r>
      <w:rPr>
        <w:color w:val="666666"/>
        <w:sz w:val="16"/>
        <w:szCs w:val="16"/>
      </w:rPr>
      <w:instrText>PAGE</w:instrText>
    </w:r>
    <w:r>
      <w:rPr>
        <w:color w:val="666666"/>
        <w:sz w:val="16"/>
        <w:szCs w:val="16"/>
      </w:rPr>
      <w:fldChar w:fldCharType="separate"/>
    </w:r>
    <w:r w:rsidR="009B62D4">
      <w:rPr>
        <w:noProof/>
        <w:color w:val="666666"/>
        <w:sz w:val="16"/>
        <w:szCs w:val="16"/>
      </w:rPr>
      <w:t>1</w:t>
    </w:r>
    <w:r>
      <w:rPr>
        <w:color w:val="666666"/>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23623F61" w14:textId="77777777" w:rsidR="00693FAA" w:rsidRDefault="00693FAA">
      <w:r>
        <w:separator/>
      </w:r>
    </w:p>
  </w:footnote>
  <w:footnote w:type="continuationSeparator" w:id="0">
    <w:p w14:paraId="53D47C09" w14:textId="77777777" w:rsidR="00693FAA" w:rsidRDefault="00693FA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1F872BBE"/>
    <w:multiLevelType w:val="hybridMultilevel"/>
    <w:tmpl w:val="A4968278"/>
    <w:lvl w:ilvl="0" w:tplc="C71613FC">
      <w:start w:val="1"/>
      <w:numFmt w:val="bullet"/>
      <w:lvlText w:val="●"/>
      <w:lvlJc w:val="left"/>
      <w:pPr>
        <w:ind w:left="720" w:hanging="360"/>
      </w:pPr>
    </w:lvl>
    <w:lvl w:ilvl="1" w:tplc="EFFAF9A0">
      <w:start w:val="1"/>
      <w:numFmt w:val="bullet"/>
      <w:lvlText w:val="○"/>
      <w:lvlJc w:val="left"/>
      <w:pPr>
        <w:ind w:left="1440" w:hanging="360"/>
      </w:pPr>
    </w:lvl>
    <w:lvl w:ilvl="2" w:tplc="F9643A52">
      <w:start w:val="1"/>
      <w:numFmt w:val="bullet"/>
      <w:lvlText w:val="■"/>
      <w:lvlJc w:val="left"/>
      <w:pPr>
        <w:ind w:left="2160" w:hanging="360"/>
      </w:pPr>
    </w:lvl>
    <w:lvl w:ilvl="3" w:tplc="B16E7158">
      <w:start w:val="1"/>
      <w:numFmt w:val="bullet"/>
      <w:lvlText w:val="●"/>
      <w:lvlJc w:val="left"/>
      <w:pPr>
        <w:ind w:left="2880" w:hanging="360"/>
      </w:pPr>
    </w:lvl>
    <w:lvl w:ilvl="4" w:tplc="958213D0">
      <w:start w:val="1"/>
      <w:numFmt w:val="bullet"/>
      <w:lvlText w:val="○"/>
      <w:lvlJc w:val="left"/>
      <w:pPr>
        <w:ind w:left="3600" w:hanging="360"/>
      </w:pPr>
    </w:lvl>
    <w:lvl w:ilvl="5" w:tplc="91B8D9CC">
      <w:start w:val="1"/>
      <w:numFmt w:val="bullet"/>
      <w:lvlText w:val="■"/>
      <w:lvlJc w:val="left"/>
      <w:pPr>
        <w:ind w:left="4320" w:hanging="360"/>
      </w:pPr>
    </w:lvl>
    <w:lvl w:ilvl="6" w:tplc="0394B38C">
      <w:start w:val="1"/>
      <w:numFmt w:val="bullet"/>
      <w:lvlText w:val="●"/>
      <w:lvlJc w:val="left"/>
      <w:pPr>
        <w:ind w:left="5040" w:hanging="360"/>
      </w:pPr>
    </w:lvl>
    <w:lvl w:ilvl="7" w:tplc="8DFEABFA">
      <w:start w:val="1"/>
      <w:numFmt w:val="bullet"/>
      <w:lvlText w:val="●"/>
      <w:lvlJc w:val="left"/>
      <w:pPr>
        <w:ind w:left="5760" w:hanging="360"/>
      </w:pPr>
    </w:lvl>
    <w:lvl w:ilvl="8" w:tplc="4B927584">
      <w:start w:val="1"/>
      <w:numFmt w:val="bullet"/>
      <w:lvlText w:val="●"/>
      <w:lvlJc w:val="left"/>
      <w:pPr>
        <w:ind w:left="6480" w:hanging="360"/>
      </w:pPr>
    </w:lvl>
  </w:abstractNum>
  <w:abstractNum w:abstractNumId="1" w15:restartNumberingAfterBreak="0">
    <w:nsid w:val="5105727A"/>
    <w:multiLevelType w:val="hybridMultilevel"/>
    <w:tmpl w:val="E80231D6"/>
    <w:lvl w:ilvl="0" w:tplc="5DE47478">
      <w:start w:val="1"/>
      <w:numFmt w:val="bullet"/>
      <w:lvlText w:val="•"/>
      <w:lvlJc w:val="left"/>
      <w:pPr>
        <w:ind w:left="360" w:hanging="360"/>
      </w:pPr>
    </w:lvl>
    <w:lvl w:ilvl="1" w:tplc="86028B52">
      <w:numFmt w:val="decimal"/>
      <w:lvlText w:val=""/>
      <w:lvlJc w:val="left"/>
    </w:lvl>
    <w:lvl w:ilvl="2" w:tplc="73A86FBE">
      <w:numFmt w:val="decimal"/>
      <w:lvlText w:val=""/>
      <w:lvlJc w:val="left"/>
    </w:lvl>
    <w:lvl w:ilvl="3" w:tplc="2DEC30AC">
      <w:numFmt w:val="decimal"/>
      <w:lvlText w:val=""/>
      <w:lvlJc w:val="left"/>
    </w:lvl>
    <w:lvl w:ilvl="4" w:tplc="C558644C">
      <w:numFmt w:val="decimal"/>
      <w:lvlText w:val=""/>
      <w:lvlJc w:val="left"/>
    </w:lvl>
    <w:lvl w:ilvl="5" w:tplc="30AED374">
      <w:numFmt w:val="decimal"/>
      <w:lvlText w:val=""/>
      <w:lvlJc w:val="left"/>
    </w:lvl>
    <w:lvl w:ilvl="6" w:tplc="A26CA516">
      <w:numFmt w:val="decimal"/>
      <w:lvlText w:val=""/>
      <w:lvlJc w:val="left"/>
    </w:lvl>
    <w:lvl w:ilvl="7" w:tplc="C4AA46CE">
      <w:numFmt w:val="decimal"/>
      <w:lvlText w:val=""/>
      <w:lvlJc w:val="left"/>
    </w:lvl>
    <w:lvl w:ilvl="8" w:tplc="E45AEBBA">
      <w:numFmt w:val="decimal"/>
      <w:lvlText w:val=""/>
      <w:lvlJc w:val="left"/>
    </w:lvl>
  </w:abstractNum>
  <w:num w:numId="1" w16cid:durableId="406539534">
    <w:abstractNumId w:val="0"/>
    <w:lvlOverride w:ilvl="0">
      <w:startOverride w:val="1"/>
    </w:lvlOverride>
  </w:num>
  <w:num w:numId="2" w16cid:durableId="336076094">
    <w:abstractNumId w:val="1"/>
    <w:lvlOverride w:ilvl="0">
      <w:startOverride w:val="1"/>
    </w:lvlOverride>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20"/>
  <w:displayBackgroundShape/>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E08C5"/>
    <w:rsid w:val="000D106D"/>
    <w:rsid w:val="001B5CEC"/>
    <w:rsid w:val="004E08C5"/>
    <w:rsid w:val="00693FAA"/>
    <w:rsid w:val="009B62D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26A2CEA5"/>
  <w15:docId w15:val="{A5492F31-6F11-F44F-B7E0-04A007DF4AA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uiPriority w:val="9"/>
    <w:qFormat/>
    <w:pPr>
      <w:outlineLvl w:val="0"/>
    </w:pPr>
    <w:rPr>
      <w:color w:val="2E74B5"/>
      <w:sz w:val="32"/>
      <w:szCs w:val="32"/>
    </w:rPr>
  </w:style>
  <w:style w:type="paragraph" w:styleId="Heading2">
    <w:name w:val="heading 2"/>
    <w:uiPriority w:val="9"/>
    <w:semiHidden/>
    <w:unhideWhenUsed/>
    <w:qFormat/>
    <w:pPr>
      <w:outlineLvl w:val="1"/>
    </w:pPr>
    <w:rPr>
      <w:color w:val="2E74B5"/>
      <w:sz w:val="26"/>
      <w:szCs w:val="26"/>
    </w:rPr>
  </w:style>
  <w:style w:type="paragraph" w:styleId="Heading3">
    <w:name w:val="heading 3"/>
    <w:uiPriority w:val="9"/>
    <w:semiHidden/>
    <w:unhideWhenUsed/>
    <w:qFormat/>
    <w:pPr>
      <w:outlineLvl w:val="2"/>
    </w:pPr>
    <w:rPr>
      <w:color w:val="1F4D78"/>
      <w:sz w:val="24"/>
      <w:szCs w:val="24"/>
    </w:rPr>
  </w:style>
  <w:style w:type="paragraph" w:styleId="Heading4">
    <w:name w:val="heading 4"/>
    <w:uiPriority w:val="9"/>
    <w:semiHidden/>
    <w:unhideWhenUsed/>
    <w:qFormat/>
    <w:pPr>
      <w:outlineLvl w:val="3"/>
    </w:pPr>
    <w:rPr>
      <w:i/>
      <w:iCs/>
      <w:color w:val="2E74B5"/>
    </w:rPr>
  </w:style>
  <w:style w:type="paragraph" w:styleId="Heading5">
    <w:name w:val="heading 5"/>
    <w:uiPriority w:val="9"/>
    <w:semiHidden/>
    <w:unhideWhenUsed/>
    <w:qFormat/>
    <w:pPr>
      <w:outlineLvl w:val="4"/>
    </w:pPr>
    <w:rPr>
      <w:color w:val="2E74B5"/>
    </w:rPr>
  </w:style>
  <w:style w:type="paragraph" w:styleId="Heading6">
    <w:name w:val="heading 6"/>
    <w:uiPriority w:val="9"/>
    <w:semiHidden/>
    <w:unhideWhenUsed/>
    <w:qFormat/>
    <w:pPr>
      <w:outlineLvl w:val="5"/>
    </w:pPr>
    <w:rPr>
      <w:color w:val="1F4D7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uiPriority w:val="10"/>
    <w:qFormat/>
    <w:rPr>
      <w:sz w:val="56"/>
      <w:szCs w:val="56"/>
    </w:rPr>
  </w:style>
  <w:style w:type="paragraph" w:customStyle="1" w:styleId="Strong1">
    <w:name w:val="Strong1"/>
    <w:qFormat/>
    <w:rPr>
      <w:b/>
      <w:bCs/>
    </w:rPr>
  </w:style>
  <w:style w:type="paragraph" w:styleId="ListParagraph">
    <w:name w:val="List Paragraph"/>
    <w:qFormat/>
  </w:style>
  <w:style w:type="character" w:styleId="Hyperlink">
    <w:name w:val="Hyperlink"/>
    <w:uiPriority w:val="99"/>
    <w:unhideWhenUsed/>
    <w:rPr>
      <w:color w:val="0563C1"/>
      <w:u w:val="single"/>
    </w:rPr>
  </w:style>
  <w:style w:type="character" w:styleId="FootnoteReference">
    <w:name w:val="footnote reference"/>
    <w:uiPriority w:val="99"/>
    <w:semiHidden/>
    <w:unhideWhenUsed/>
    <w:rPr>
      <w:vertAlign w:val="superscript"/>
    </w:rPr>
  </w:style>
  <w:style w:type="paragraph" w:styleId="FootnoteText">
    <w:name w:val="footnote text"/>
    <w:link w:val="FootnoteTextChar"/>
    <w:uiPriority w:val="99"/>
    <w:semiHidden/>
    <w:unhideWhenUsed/>
  </w:style>
  <w:style w:type="character" w:customStyle="1" w:styleId="FootnoteTextChar">
    <w:name w:val="Footnote Text Char"/>
    <w:link w:val="FootnoteText"/>
    <w:uiPriority w:val="99"/>
    <w:semiHidden/>
    <w:unhideWhenUsed/>
    <w:rPr>
      <w:sz w:val="20"/>
      <w:szCs w:val="20"/>
    </w:rPr>
  </w:style>
  <w:style w:type="character" w:styleId="EndnoteReference">
    <w:name w:val="endnote reference"/>
    <w:uiPriority w:val="99"/>
    <w:semiHidden/>
    <w:unhideWhenUsed/>
    <w:rPr>
      <w:vertAlign w:val="superscript"/>
    </w:rPr>
  </w:style>
  <w:style w:type="paragraph" w:styleId="EndnoteText">
    <w:name w:val="endnote text"/>
    <w:link w:val="EndnoteTextChar"/>
    <w:uiPriority w:val="99"/>
    <w:semiHidden/>
    <w:unhideWhenUsed/>
  </w:style>
  <w:style w:type="character" w:customStyle="1" w:styleId="EndnoteTextChar">
    <w:name w:val="Endnote Text Char"/>
    <w:link w:val="EndnoteText"/>
    <w:uiPriority w:val="99"/>
    <w:semiHidden/>
    <w:unhideWhenUsed/>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2</TotalTime>
  <Pages>6</Pages>
  <Words>2091</Words>
  <Characters>11923</Characters>
  <Application>Microsoft Office Word</Application>
  <DocSecurity>0</DocSecurity>
  <Lines>99</Lines>
  <Paragraphs>27</Paragraphs>
  <ScaleCrop>false</ScaleCrop>
  <Company/>
  <LinksUpToDate>false</LinksUpToDate>
  <CharactersWithSpaces>13987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Ben Aghdasi</cp:lastModifiedBy>
  <cp:revision>3</cp:revision>
  <dcterms:created xsi:type="dcterms:W3CDTF">2026-09-06T23:16:00Z</dcterms:created>
  <dcterms:modified xsi:type="dcterms:W3CDTF">2026-09-06T23:17:00Z</dcterms:modified>
</cp:coreProperties>
</file>